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A828E0">
      <w:pPr>
        <w:numPr>
          <w:ilvl w:val="0"/>
          <w:numId w:val="0"/>
        </w:numPr>
        <w:spacing w:line="360" w:lineRule="auto"/>
        <w:jc w:val="left"/>
        <w:rPr>
          <w:rFonts w:hint="eastAsia" w:ascii="仿宋_GB2312" w:hAnsi="仿宋_GB2312" w:eastAsia="仿宋_GB2312" w:cs="仿宋_GB2312"/>
          <w:b/>
          <w:bCs/>
          <w:sz w:val="28"/>
          <w:szCs w:val="36"/>
          <w:lang w:val="en-US" w:eastAsia="zh-CN"/>
        </w:rPr>
      </w:pPr>
      <w:r>
        <w:rPr>
          <w:rFonts w:hint="eastAsia" w:ascii="仿宋_GB2312" w:hAnsi="仿宋_GB2312" w:eastAsia="仿宋_GB2312" w:cs="仿宋_GB2312"/>
          <w:b/>
          <w:bCs/>
          <w:sz w:val="28"/>
          <w:szCs w:val="36"/>
          <w:lang w:val="en-US" w:eastAsia="zh-CN"/>
        </w:rPr>
        <w:t>附件：</w:t>
      </w:r>
    </w:p>
    <w:p w14:paraId="777FE7B8">
      <w:pPr>
        <w:keepNext w:val="0"/>
        <w:keepLines w:val="0"/>
        <w:pageBreakBefore w:val="0"/>
        <w:widowControl w:val="0"/>
        <w:kinsoku/>
        <w:wordWrap/>
        <w:overflowPunct/>
        <w:topLinePunct w:val="0"/>
        <w:autoSpaceDE/>
        <w:autoSpaceDN/>
        <w:bidi w:val="0"/>
        <w:adjustRightInd/>
        <w:snapToGrid/>
        <w:spacing w:line="760" w:lineRule="exact"/>
        <w:jc w:val="center"/>
        <w:textAlignment w:val="auto"/>
        <w:rPr>
          <w:rFonts w:hint="default" w:ascii="方正小标宋简体" w:hAnsi="方正小标宋简体" w:eastAsia="方正小标宋简体" w:cs="方正小标宋简体"/>
          <w:b/>
          <w:bCs/>
          <w:sz w:val="44"/>
          <w:szCs w:val="44"/>
          <w:lang w:val="en-US" w:eastAsia="zh-CN"/>
        </w:rPr>
      </w:pPr>
      <w:r>
        <w:rPr>
          <w:rFonts w:hint="eastAsia" w:ascii="方正小标宋简体" w:hAnsi="方正小标宋简体" w:eastAsia="方正小标宋简体" w:cs="方正小标宋简体"/>
          <w:b/>
          <w:bCs/>
          <w:sz w:val="44"/>
          <w:szCs w:val="44"/>
          <w:lang w:val="en-US" w:eastAsia="zh-CN"/>
        </w:rPr>
        <w:t>阳江滨海新区（阳江高新区）2025年阳江市劳动模范推荐人选简要事迹</w:t>
      </w:r>
    </w:p>
    <w:p w14:paraId="114E0AB6">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left"/>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p>
    <w:p w14:paraId="40677B00">
      <w:pPr>
        <w:keepNext w:val="0"/>
        <w:keepLines w:val="0"/>
        <w:pageBreakBefore w:val="0"/>
        <w:widowControl w:val="0"/>
        <w:kinsoku/>
        <w:wordWrap/>
        <w:overflowPunct/>
        <w:topLinePunct w:val="0"/>
        <w:autoSpaceDE/>
        <w:autoSpaceDN/>
        <w:bidi w:val="0"/>
        <w:adjustRightInd/>
        <w:snapToGrid/>
        <w:spacing w:line="240" w:lineRule="auto"/>
        <w:ind w:firstLine="803" w:firstLineChars="200"/>
        <w:jc w:val="center"/>
        <w:textAlignment w:val="auto"/>
        <w:rPr>
          <w:rFonts w:hint="default" w:ascii="仿宋_GB2312" w:hAnsi="仿宋_GB2312" w:eastAsia="仿宋_GB2312" w:cs="仿宋_GB2312"/>
          <w:b/>
          <w:bCs/>
          <w:color w:val="000000" w:themeColor="text1"/>
          <w:kern w:val="2"/>
          <w:sz w:val="36"/>
          <w:szCs w:val="36"/>
          <w:lang w:val="en-US" w:eastAsia="zh-CN" w:bidi="ar-SA"/>
          <w14:textFill>
            <w14:solidFill>
              <w14:schemeClr w14:val="tx1"/>
            </w14:solidFill>
          </w14:textFill>
        </w:rPr>
      </w:pPr>
      <w:r>
        <w:rPr>
          <w:rFonts w:hint="eastAsia" w:asciiTheme="majorEastAsia" w:hAnsiTheme="majorEastAsia" w:eastAsiaTheme="majorEastAsia" w:cstheme="majorEastAsia"/>
          <w:b/>
          <w:bCs/>
          <w:sz w:val="40"/>
          <w:szCs w:val="40"/>
          <w:lang w:val="en-US" w:eastAsia="zh-CN"/>
        </w:rPr>
        <w:t>程学伟同志简要事迹</w:t>
      </w:r>
    </w:p>
    <w:p w14:paraId="0A37D39C">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t>程学伟，男，</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汉族，</w:t>
      </w:r>
      <w:r>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t>1982年9月生，中共党员，</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本科学历，</w:t>
      </w:r>
      <w:r>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t>机械正高级工程师，现任广东广青金属科技有限公司</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（以下简称广青科技）总经理助理兼综合部部长，他</w:t>
      </w:r>
      <w:r>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t>以高度责任感和创新实干精神，在推动企业绿色低碳转型、引领产业数字化升级作出了贡献。</w:t>
      </w:r>
    </w:p>
    <w:p w14:paraId="69B2AA9B">
      <w:pPr>
        <w:keepNext w:val="0"/>
        <w:keepLines w:val="0"/>
        <w:pageBreakBefore w:val="0"/>
        <w:widowControl w:val="0"/>
        <w:numPr>
          <w:ilvl w:val="0"/>
          <w:numId w:val="1"/>
        </w:numPr>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b w:val="0"/>
          <w:bCs w:val="0"/>
          <w:color w:val="000000" w:themeColor="text1"/>
          <w:kern w:val="2"/>
          <w:sz w:val="32"/>
          <w:szCs w:val="32"/>
          <w:lang w:val="en-US" w:eastAsia="zh-CN" w:bidi="ar-SA"/>
          <w14:textFill>
            <w14:solidFill>
              <w14:schemeClr w14:val="tx1"/>
            </w14:solidFill>
          </w14:textFill>
        </w:rPr>
      </w:pPr>
      <w:r>
        <w:rPr>
          <w:rFonts w:hint="eastAsia" w:ascii="黑体" w:hAnsi="黑体" w:eastAsia="黑体" w:cs="黑体"/>
          <w:b w:val="0"/>
          <w:bCs w:val="0"/>
          <w:color w:val="000000" w:themeColor="text1"/>
          <w:kern w:val="2"/>
          <w:sz w:val="32"/>
          <w:szCs w:val="32"/>
          <w:lang w:val="en-US" w:eastAsia="zh-CN" w:bidi="ar-SA"/>
          <w14:textFill>
            <w14:solidFill>
              <w14:schemeClr w14:val="tx1"/>
            </w14:solidFill>
          </w14:textFill>
        </w:rPr>
        <w:t>政治坚定，勇于担当作为</w:t>
      </w:r>
    </w:p>
    <w:p w14:paraId="7616FB4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t>充分发挥党员先锋模范作用，在急难险重任务中冲锋在前</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w:t>
      </w:r>
      <w:r>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t>主导项目获广东省冶金科技成果特等奖、一等奖</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w:t>
      </w:r>
      <w:r>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t>优化管理、服务员工、热心公益，营造和谐氛围，</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先后获评省级</w:t>
      </w:r>
      <w:r>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t>特级技师、阳江高新区“首批区管拔尖人才”等</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多项</w:t>
      </w:r>
      <w:r>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t>荣誉。</w:t>
      </w:r>
    </w:p>
    <w:p w14:paraId="547C5E9A">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firstLine="640" w:firstLineChars="200"/>
        <w:textAlignment w:val="auto"/>
        <w:rPr>
          <w:rFonts w:hint="eastAsia" w:ascii="黑体" w:hAnsi="黑体" w:eastAsia="黑体" w:cs="黑体"/>
          <w:b w:val="0"/>
          <w:bCs w:val="0"/>
          <w:color w:val="000000" w:themeColor="text1"/>
          <w:kern w:val="2"/>
          <w:sz w:val="32"/>
          <w:szCs w:val="32"/>
          <w:lang w:val="en-US" w:eastAsia="zh-CN" w:bidi="ar-SA"/>
          <w14:textFill>
            <w14:solidFill>
              <w14:schemeClr w14:val="tx1"/>
            </w14:solidFill>
          </w14:textFill>
        </w:rPr>
      </w:pPr>
      <w:r>
        <w:rPr>
          <w:rFonts w:hint="eastAsia" w:ascii="黑体" w:hAnsi="黑体" w:eastAsia="黑体" w:cs="黑体"/>
          <w:b w:val="0"/>
          <w:bCs w:val="0"/>
          <w:color w:val="000000" w:themeColor="text1"/>
          <w:kern w:val="2"/>
          <w:sz w:val="32"/>
          <w:szCs w:val="32"/>
          <w:lang w:val="en-US" w:eastAsia="zh-CN" w:bidi="ar-SA"/>
          <w14:textFill>
            <w14:solidFill>
              <w14:schemeClr w14:val="tx1"/>
            </w14:solidFill>
          </w14:textFill>
        </w:rPr>
        <w:t>真抓实干</w:t>
      </w:r>
      <w:r>
        <w:rPr>
          <w:rFonts w:hint="default" w:ascii="黑体" w:hAnsi="黑体" w:eastAsia="黑体" w:cs="黑体"/>
          <w:b w:val="0"/>
          <w:bCs w:val="0"/>
          <w:color w:val="000000" w:themeColor="text1"/>
          <w:kern w:val="2"/>
          <w:sz w:val="32"/>
          <w:szCs w:val="32"/>
          <w:lang w:val="en-US" w:eastAsia="zh-CN" w:bidi="ar-SA"/>
          <w14:textFill>
            <w14:solidFill>
              <w14:schemeClr w14:val="tx1"/>
            </w14:solidFill>
          </w14:textFill>
        </w:rPr>
        <w:t>，助力</w:t>
      </w:r>
      <w:r>
        <w:rPr>
          <w:rFonts w:hint="eastAsia" w:ascii="黑体" w:hAnsi="黑体" w:eastAsia="黑体" w:cs="黑体"/>
          <w:b w:val="0"/>
          <w:bCs w:val="0"/>
          <w:color w:val="000000" w:themeColor="text1"/>
          <w:kern w:val="2"/>
          <w:sz w:val="32"/>
          <w:szCs w:val="32"/>
          <w:lang w:val="en-US" w:eastAsia="zh-CN" w:bidi="ar-SA"/>
          <w14:textFill>
            <w14:solidFill>
              <w14:schemeClr w14:val="tx1"/>
            </w14:solidFill>
          </w14:textFill>
        </w:rPr>
        <w:t>低碳发展</w:t>
      </w:r>
    </w:p>
    <w:p w14:paraId="25657D5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t>推动节能降碳技改，</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为公司创造环保效益</w:t>
      </w:r>
      <w:r>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t>2850万元；构建碳排放管理体系，完成碳核查履约与产品碳足迹认证；优化固废管理，实现炉渣资源化利用年经济效益1531万元，助力公司获评阳江市首批“无废工厂”；推进超低排放改造，实现污染物“零超标”，为绿美阳江建设贡献力量。</w:t>
      </w:r>
    </w:p>
    <w:p w14:paraId="2A7F20EC">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firstLine="640" w:firstLineChars="200"/>
        <w:textAlignment w:val="auto"/>
        <w:rPr>
          <w:rFonts w:hint="default" w:ascii="黑体" w:hAnsi="黑体" w:eastAsia="黑体" w:cs="黑体"/>
          <w:b w:val="0"/>
          <w:bCs w:val="0"/>
          <w:color w:val="000000" w:themeColor="text1"/>
          <w:kern w:val="2"/>
          <w:sz w:val="32"/>
          <w:szCs w:val="32"/>
          <w:lang w:val="en-US" w:eastAsia="zh-CN" w:bidi="ar-SA"/>
          <w14:textFill>
            <w14:solidFill>
              <w14:schemeClr w14:val="tx1"/>
            </w14:solidFill>
          </w14:textFill>
        </w:rPr>
      </w:pPr>
      <w:r>
        <w:rPr>
          <w:rFonts w:hint="eastAsia" w:ascii="黑体" w:hAnsi="黑体" w:eastAsia="黑体" w:cs="黑体"/>
          <w:b w:val="0"/>
          <w:bCs w:val="0"/>
          <w:color w:val="000000" w:themeColor="text1"/>
          <w:kern w:val="2"/>
          <w:sz w:val="32"/>
          <w:szCs w:val="32"/>
          <w:lang w:val="en-US" w:eastAsia="zh-CN" w:bidi="ar-SA"/>
          <w14:textFill>
            <w14:solidFill>
              <w14:schemeClr w14:val="tx1"/>
            </w14:solidFill>
          </w14:textFill>
        </w:rPr>
        <w:t>锐意创新</w:t>
      </w:r>
      <w:r>
        <w:rPr>
          <w:rFonts w:hint="default" w:ascii="黑体" w:hAnsi="黑体" w:eastAsia="黑体" w:cs="黑体"/>
          <w:b w:val="0"/>
          <w:bCs w:val="0"/>
          <w:color w:val="000000" w:themeColor="text1"/>
          <w:kern w:val="2"/>
          <w:sz w:val="32"/>
          <w:szCs w:val="32"/>
          <w:lang w:val="en-US" w:eastAsia="zh-CN" w:bidi="ar-SA"/>
          <w14:textFill>
            <w14:solidFill>
              <w14:schemeClr w14:val="tx1"/>
            </w14:solidFill>
          </w14:textFill>
        </w:rPr>
        <w:t>，</w:t>
      </w:r>
      <w:r>
        <w:rPr>
          <w:rFonts w:hint="eastAsia" w:ascii="黑体" w:hAnsi="黑体" w:eastAsia="黑体" w:cs="黑体"/>
          <w:b w:val="0"/>
          <w:bCs w:val="0"/>
          <w:color w:val="000000" w:themeColor="text1"/>
          <w:kern w:val="2"/>
          <w:sz w:val="32"/>
          <w:szCs w:val="32"/>
          <w:lang w:val="en-US" w:eastAsia="zh-CN" w:bidi="ar-SA"/>
          <w14:textFill>
            <w14:solidFill>
              <w14:schemeClr w14:val="tx1"/>
            </w14:solidFill>
          </w14:textFill>
        </w:rPr>
        <w:t>推动</w:t>
      </w:r>
      <w:r>
        <w:rPr>
          <w:rFonts w:hint="default" w:ascii="黑体" w:hAnsi="黑体" w:eastAsia="黑体" w:cs="黑体"/>
          <w:b w:val="0"/>
          <w:bCs w:val="0"/>
          <w:color w:val="000000" w:themeColor="text1"/>
          <w:kern w:val="2"/>
          <w:sz w:val="32"/>
          <w:szCs w:val="32"/>
          <w:lang w:val="en-US" w:eastAsia="zh-CN" w:bidi="ar-SA"/>
          <w14:textFill>
            <w14:solidFill>
              <w14:schemeClr w14:val="tx1"/>
            </w14:solidFill>
          </w14:textFill>
        </w:rPr>
        <w:t>智造升级</w:t>
      </w:r>
    </w:p>
    <w:p w14:paraId="4460588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t>近年主导新增数字化项目30余个，建成广青</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科技</w:t>
      </w:r>
      <w:r>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t>工业互联网平台等关键</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系统</w:t>
      </w:r>
      <w:r>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t>，</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推动</w:t>
      </w:r>
      <w:r>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t>公司项目获评“广东省国有重点企业管理提升标杆创建行动标杆项目”；推进能源管理系统建设，运用大数据精准降耗增效；成功部署5G+工业互联网五大应用场景及智慧平台，参与的《5G+MEC边缘智慧工厂项目》获</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得</w:t>
      </w:r>
      <w:r>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t>5G应用大赛优秀奖，显著提升生产安全、效率与智能化水平，为阳江“智造”升级提供前沿实践。</w:t>
      </w:r>
    </w:p>
    <w:p w14:paraId="69D121E7">
      <w:pPr>
        <w:keepNext w:val="0"/>
        <w:keepLines w:val="0"/>
        <w:pageBreakBefore w:val="0"/>
        <w:widowControl w:val="0"/>
        <w:kinsoku/>
        <w:wordWrap/>
        <w:overflowPunct/>
        <w:topLinePunct w:val="0"/>
        <w:autoSpaceDE/>
        <w:autoSpaceDN/>
        <w:bidi w:val="0"/>
        <w:adjustRightInd/>
        <w:snapToGrid/>
        <w:spacing w:line="240" w:lineRule="auto"/>
        <w:ind w:firstLine="803" w:firstLineChars="200"/>
        <w:jc w:val="center"/>
        <w:textAlignment w:val="auto"/>
        <w:rPr>
          <w:rFonts w:hint="eastAsia" w:asciiTheme="majorEastAsia" w:hAnsiTheme="majorEastAsia" w:eastAsiaTheme="majorEastAsia" w:cstheme="majorEastAsia"/>
          <w:b/>
          <w:bCs/>
          <w:sz w:val="40"/>
          <w:szCs w:val="40"/>
          <w:lang w:val="en-US" w:eastAsia="zh-CN"/>
        </w:rPr>
      </w:pPr>
    </w:p>
    <w:p w14:paraId="3CC1E1B8">
      <w:pPr>
        <w:keepNext w:val="0"/>
        <w:keepLines w:val="0"/>
        <w:pageBreakBefore w:val="0"/>
        <w:widowControl w:val="0"/>
        <w:kinsoku/>
        <w:wordWrap/>
        <w:overflowPunct/>
        <w:topLinePunct w:val="0"/>
        <w:autoSpaceDE/>
        <w:autoSpaceDN/>
        <w:bidi w:val="0"/>
        <w:adjustRightInd/>
        <w:snapToGrid/>
        <w:spacing w:line="240" w:lineRule="auto"/>
        <w:ind w:firstLine="803" w:firstLineChars="200"/>
        <w:jc w:val="center"/>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Theme="majorEastAsia" w:hAnsiTheme="majorEastAsia" w:eastAsiaTheme="majorEastAsia" w:cstheme="majorEastAsia"/>
          <w:b/>
          <w:bCs/>
          <w:sz w:val="40"/>
          <w:szCs w:val="40"/>
          <w:lang w:val="en-US" w:eastAsia="zh-CN"/>
        </w:rPr>
        <w:t>李丰勇同志简要事迹</w:t>
      </w:r>
    </w:p>
    <w:p w14:paraId="15C258C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李丰勇，男，汉族，1987年10月出生，中共党员，本科学历。2009年1月加入公司，现任敏捷粤西公司副总经理。作为敏捷集团首届“敏才星”获得者，他始终坚持奋斗精神，从基层岗位一步步成长为公司骨干。随着中国大基建时代开始，2011年敏捷集团战略布局阳江市场，李丰勇同志也随着公司的步伐回到自己家乡。“敏捷黄金海岸”项目作为进驻阳江市场的开篇之作，李丰勇同志在项目前期的规划筹备期，时常加班至深夜，加快了项目的开发建设，让黄金海岸项目成为海陵岛上一张亮丽的名片，该项目在李丰勇同志带领的团队下，荣获“最佳滨海旅游景区”、“国家AAA级旅游景区”等多项荣誉。“同一蓝天下”是敏捷集团在海陵岛举办超10年的爱心慰问活动，近些年来，李丰勇同志组织慰问走访当地困难群众及孤贫儿童、累计走访慰问超300户困难家庭，给予生活物资。2021年5月，获中共阳江市委“乡村振兴先进一线工作者</w:t>
      </w:r>
      <w:r>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t>”</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称号，2022年3月，获阳江市海陵区总工会“先进个人</w:t>
      </w:r>
      <w:r>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t>”</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，2022年11月，获阳江市消防安全委员会“先进个人</w:t>
      </w:r>
      <w:r>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t>”</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，2022年12月，获阳江市总工会“优秀工会工作者</w:t>
      </w:r>
      <w:r>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t>”</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w:t>
      </w:r>
    </w:p>
    <w:p w14:paraId="128A371B">
      <w:pPr>
        <w:keepNext w:val="0"/>
        <w:keepLines w:val="0"/>
        <w:pageBreakBefore w:val="0"/>
        <w:widowControl w:val="0"/>
        <w:kinsoku/>
        <w:wordWrap/>
        <w:overflowPunct/>
        <w:topLinePunct w:val="0"/>
        <w:autoSpaceDE/>
        <w:autoSpaceDN/>
        <w:bidi w:val="0"/>
        <w:adjustRightInd/>
        <w:snapToGrid/>
        <w:spacing w:line="240" w:lineRule="auto"/>
        <w:ind w:firstLine="803" w:firstLineChars="200"/>
        <w:jc w:val="center"/>
        <w:textAlignment w:val="auto"/>
        <w:rPr>
          <w:rFonts w:hint="eastAsia" w:asciiTheme="majorEastAsia" w:hAnsiTheme="majorEastAsia" w:eastAsiaTheme="majorEastAsia" w:cstheme="majorEastAsia"/>
          <w:b/>
          <w:bCs/>
          <w:sz w:val="40"/>
          <w:szCs w:val="40"/>
          <w:lang w:val="en-US" w:eastAsia="zh-CN"/>
        </w:rPr>
      </w:pPr>
    </w:p>
    <w:p w14:paraId="582B83C2">
      <w:pPr>
        <w:keepNext w:val="0"/>
        <w:keepLines w:val="0"/>
        <w:pageBreakBefore w:val="0"/>
        <w:widowControl w:val="0"/>
        <w:kinsoku/>
        <w:wordWrap/>
        <w:overflowPunct/>
        <w:topLinePunct w:val="0"/>
        <w:autoSpaceDE/>
        <w:autoSpaceDN/>
        <w:bidi w:val="0"/>
        <w:adjustRightInd/>
        <w:snapToGrid/>
        <w:spacing w:line="240" w:lineRule="auto"/>
        <w:ind w:firstLine="803" w:firstLineChars="200"/>
        <w:jc w:val="center"/>
        <w:textAlignment w:val="auto"/>
        <w:rPr>
          <w:rFonts w:hint="eastAsia" w:ascii="仿宋_GB2312" w:hAnsi="华文楷体" w:eastAsia="仿宋_GB2312" w:cs="宋体"/>
          <w:color w:val="auto"/>
          <w:kern w:val="0"/>
          <w:sz w:val="32"/>
          <w:szCs w:val="32"/>
          <w:lang w:val="en-US" w:eastAsia="zh-CN"/>
        </w:rPr>
      </w:pPr>
      <w:r>
        <w:rPr>
          <w:rFonts w:hint="eastAsia" w:asciiTheme="majorEastAsia" w:hAnsiTheme="majorEastAsia" w:eastAsiaTheme="majorEastAsia" w:cstheme="majorEastAsia"/>
          <w:b/>
          <w:bCs/>
          <w:sz w:val="40"/>
          <w:szCs w:val="40"/>
          <w:lang w:val="en-US" w:eastAsia="zh-CN"/>
        </w:rPr>
        <w:t>洪梅同志简要事迹</w:t>
      </w:r>
    </w:p>
    <w:p w14:paraId="6F894D0B">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华文楷体" w:eastAsia="仿宋_GB2312" w:cs="宋体"/>
          <w:color w:val="auto"/>
          <w:kern w:val="0"/>
          <w:sz w:val="32"/>
          <w:szCs w:val="32"/>
          <w:lang w:val="en-US" w:eastAsia="zh-CN"/>
        </w:rPr>
      </w:pPr>
      <w:r>
        <w:rPr>
          <w:rFonts w:hint="eastAsia" w:ascii="仿宋_GB2312" w:hAnsi="华文楷体" w:eastAsia="仿宋_GB2312" w:cs="宋体"/>
          <w:color w:val="auto"/>
          <w:kern w:val="0"/>
          <w:sz w:val="32"/>
          <w:szCs w:val="32"/>
          <w:lang w:val="en-US" w:eastAsia="zh-CN"/>
        </w:rPr>
        <w:t>洪梅，女，汉族，1983年5月生，中共党员，硕士研究生学历，现任阳江滨海新区党建和人力资源服务中心副主任。2020年以来，始终以高度的责任感和强烈的事业心投入工作，在平凡的岗位上做出了突出的业绩：</w:t>
      </w:r>
    </w:p>
    <w:p w14:paraId="7BE9FBE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华文楷体" w:eastAsia="仿宋_GB2312" w:cs="宋体"/>
          <w:color w:val="auto"/>
          <w:kern w:val="0"/>
          <w:sz w:val="32"/>
          <w:szCs w:val="32"/>
          <w:lang w:val="en-US" w:eastAsia="zh-CN"/>
        </w:rPr>
      </w:pPr>
      <w:r>
        <w:rPr>
          <w:rFonts w:hint="eastAsia" w:ascii="黑体" w:hAnsi="黑体" w:eastAsia="黑体" w:cs="黑体"/>
          <w:color w:val="auto"/>
          <w:kern w:val="0"/>
          <w:sz w:val="32"/>
          <w:szCs w:val="32"/>
          <w:lang w:val="en-US" w:eastAsia="zh-CN"/>
        </w:rPr>
        <w:t>一、涵养“忠诚之心”，争做理论实践的“多面手”。</w:t>
      </w:r>
      <w:r>
        <w:rPr>
          <w:rFonts w:hint="eastAsia" w:ascii="仿宋_GB2312" w:hAnsi="华文楷体" w:eastAsia="仿宋_GB2312" w:cs="宋体"/>
          <w:color w:val="auto"/>
          <w:kern w:val="0"/>
          <w:sz w:val="32"/>
          <w:szCs w:val="32"/>
          <w:lang w:val="en-US" w:eastAsia="zh-CN"/>
        </w:rPr>
        <w:t>积极撰写高质量理论评论文章，于2021年获全省组织系统“优秀网宣员”荣誉。在区党史学习教育等重点任务中勇挑重担，高质量完成了相关多份重要材料的撰写工作。</w:t>
      </w:r>
    </w:p>
    <w:p w14:paraId="6F83142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textAlignment w:val="auto"/>
        <w:rPr>
          <w:rFonts w:hint="eastAsia" w:ascii="仿宋_GB2312" w:hAnsi="华文楷体" w:eastAsia="仿宋_GB2312" w:cs="宋体"/>
          <w:color w:val="auto"/>
          <w:kern w:val="0"/>
          <w:sz w:val="32"/>
          <w:szCs w:val="32"/>
          <w:lang w:val="en-US" w:eastAsia="zh-CN"/>
        </w:rPr>
      </w:pPr>
      <w:r>
        <w:rPr>
          <w:rFonts w:hint="eastAsia" w:ascii="黑体" w:hAnsi="黑体" w:eastAsia="黑体" w:cs="黑体"/>
          <w:color w:val="auto"/>
          <w:kern w:val="0"/>
          <w:sz w:val="32"/>
          <w:szCs w:val="32"/>
          <w:lang w:val="en-US" w:eastAsia="zh-CN"/>
        </w:rPr>
        <w:t>二、提升“业务之能”，勇当本职岗位的“排头兵”。</w:t>
      </w:r>
      <w:r>
        <w:rPr>
          <w:rFonts w:hint="eastAsia" w:ascii="仿宋_GB2312" w:hAnsi="华文楷体" w:eastAsia="仿宋_GB2312" w:cs="宋体"/>
          <w:color w:val="auto"/>
          <w:kern w:val="0"/>
          <w:sz w:val="32"/>
          <w:szCs w:val="32"/>
          <w:lang w:val="en-US" w:eastAsia="zh-CN"/>
        </w:rPr>
        <w:t>解决了区组工信息宣传工作相对薄弱的难题，实现质的飞跃，从全市排名靠后提升至前列。将严谨细致的作风贯穿于工作全链条、全过程，2020年以来，按时按质完成各种调研报告、总结汇报、发言等材料约400份，实现高质量、零差错。</w:t>
      </w:r>
    </w:p>
    <w:p w14:paraId="6DF34CE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textAlignment w:val="auto"/>
        <w:rPr>
          <w:rFonts w:hint="eastAsia" w:ascii="仿宋_GB2312" w:hAnsi="华文楷体" w:eastAsia="仿宋_GB2312" w:cs="宋体"/>
          <w:color w:val="auto"/>
          <w:kern w:val="0"/>
          <w:sz w:val="32"/>
          <w:szCs w:val="32"/>
          <w:lang w:val="en-US" w:eastAsia="zh-CN"/>
        </w:rPr>
      </w:pPr>
      <w:r>
        <w:rPr>
          <w:rFonts w:hint="eastAsia" w:ascii="黑体" w:hAnsi="黑体" w:eastAsia="黑体" w:cs="黑体"/>
          <w:color w:val="auto"/>
          <w:kern w:val="0"/>
          <w:sz w:val="32"/>
          <w:szCs w:val="32"/>
          <w:lang w:val="en-US" w:eastAsia="zh-CN"/>
        </w:rPr>
        <w:t>三、树牢“担当之念”，甘为破解难题的“实干家”。</w:t>
      </w:r>
      <w:r>
        <w:rPr>
          <w:rFonts w:hint="eastAsia" w:ascii="仿宋_GB2312" w:hAnsi="华文楷体" w:eastAsia="仿宋_GB2312" w:cs="宋体"/>
          <w:color w:val="auto"/>
          <w:kern w:val="0"/>
          <w:sz w:val="32"/>
          <w:szCs w:val="32"/>
          <w:lang w:val="en-US" w:eastAsia="zh-CN"/>
        </w:rPr>
        <w:t>对领导及上级部门交办的各项任务全力以赴，对基层在材料撰写方面的的困难用心辅导， 获得领导和同事肯定，2018、2021、2023年三年获得区年度绩效考核优秀，荣获区优秀共产党员称号。</w:t>
      </w:r>
    </w:p>
    <w:p w14:paraId="239EB5D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textAlignment w:val="auto"/>
        <w:rPr>
          <w:rFonts w:hint="eastAsia" w:ascii="仿宋_GB2312" w:hAnsi="华文楷体" w:eastAsia="仿宋_GB2312" w:cs="宋体"/>
          <w:color w:val="auto"/>
          <w:kern w:val="0"/>
          <w:sz w:val="32"/>
          <w:szCs w:val="32"/>
          <w:lang w:val="en-US" w:eastAsia="zh-CN"/>
        </w:rPr>
      </w:pPr>
      <w:r>
        <w:rPr>
          <w:rFonts w:hint="eastAsia" w:ascii="黑体" w:hAnsi="黑体" w:eastAsia="黑体" w:cs="黑体"/>
          <w:color w:val="auto"/>
          <w:kern w:val="0"/>
          <w:sz w:val="32"/>
          <w:szCs w:val="32"/>
          <w:lang w:val="en-US" w:eastAsia="zh-CN"/>
        </w:rPr>
        <w:t>四、坚守“奉献之志”，善做正能量的“传播者”。</w:t>
      </w:r>
      <w:r>
        <w:rPr>
          <w:rFonts w:hint="eastAsia" w:ascii="仿宋_GB2312" w:hAnsi="华文楷体" w:eastAsia="仿宋_GB2312" w:cs="宋体"/>
          <w:color w:val="auto"/>
          <w:kern w:val="0"/>
          <w:sz w:val="32"/>
          <w:szCs w:val="32"/>
          <w:lang w:val="en-US" w:eastAsia="zh-CN"/>
        </w:rPr>
        <w:t>将负责的阳江高新组工公众号作为“正能量”传播的平台，用心用情挖掘先进事迹。2020年以来，共编辑发表文章400余篇，有力展示了我区各级党组织和党员的良好形象。</w:t>
      </w:r>
    </w:p>
    <w:p w14:paraId="780AE53B">
      <w:pPr>
        <w:keepNext w:val="0"/>
        <w:keepLines w:val="0"/>
        <w:pageBreakBefore w:val="0"/>
        <w:widowControl w:val="0"/>
        <w:kinsoku/>
        <w:wordWrap/>
        <w:overflowPunct/>
        <w:topLinePunct w:val="0"/>
        <w:autoSpaceDE/>
        <w:autoSpaceDN/>
        <w:bidi w:val="0"/>
        <w:adjustRightInd/>
        <w:snapToGrid/>
        <w:spacing w:line="240" w:lineRule="auto"/>
        <w:ind w:firstLine="803" w:firstLineChars="200"/>
        <w:jc w:val="center"/>
        <w:textAlignment w:val="auto"/>
        <w:rPr>
          <w:rFonts w:hint="eastAsia" w:asciiTheme="majorEastAsia" w:hAnsiTheme="majorEastAsia" w:eastAsiaTheme="majorEastAsia" w:cstheme="majorEastAsia"/>
          <w:b/>
          <w:bCs/>
          <w:sz w:val="40"/>
          <w:szCs w:val="40"/>
          <w:lang w:val="en-US" w:eastAsia="zh-CN"/>
        </w:rPr>
      </w:pPr>
    </w:p>
    <w:p w14:paraId="35E5FBFC">
      <w:pPr>
        <w:keepNext w:val="0"/>
        <w:keepLines w:val="0"/>
        <w:pageBreakBefore w:val="0"/>
        <w:widowControl w:val="0"/>
        <w:kinsoku/>
        <w:wordWrap/>
        <w:overflowPunct/>
        <w:topLinePunct w:val="0"/>
        <w:autoSpaceDE/>
        <w:autoSpaceDN/>
        <w:bidi w:val="0"/>
        <w:adjustRightInd/>
        <w:snapToGrid/>
        <w:spacing w:line="240" w:lineRule="auto"/>
        <w:ind w:firstLine="803" w:firstLineChars="200"/>
        <w:jc w:val="center"/>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Theme="majorEastAsia" w:hAnsiTheme="majorEastAsia" w:eastAsiaTheme="majorEastAsia" w:cstheme="majorEastAsia"/>
          <w:b/>
          <w:bCs/>
          <w:sz w:val="40"/>
          <w:szCs w:val="40"/>
          <w:lang w:val="en-US" w:eastAsia="zh-CN"/>
        </w:rPr>
        <w:t>林常青同志简要事迹</w:t>
      </w:r>
    </w:p>
    <w:p w14:paraId="0A3615A4">
      <w:pPr>
        <w:spacing w:line="240" w:lineRule="auto"/>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林常青，男，汉族，1988年7月出生，中共党员，本科学历，现任广东世纪青山镍业有限公司副总经理、安委会主任、党支部书记、慈善基金会理事长、注册安全工程师。</w:t>
      </w:r>
    </w:p>
    <w:p w14:paraId="2C8BB37A">
      <w:pPr>
        <w:numPr>
          <w:ilvl w:val="0"/>
          <w:numId w:val="0"/>
        </w:numPr>
        <w:spacing w:line="240" w:lineRule="auto"/>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林常青</w:t>
      </w:r>
      <w:r>
        <w:rPr>
          <w:rFonts w:hint="eastAsia" w:ascii="仿宋_GB2312" w:hAnsi="仿宋_GB2312" w:eastAsia="仿宋_GB2312" w:cs="仿宋_GB2312"/>
          <w:color w:val="000000" w:themeColor="text1"/>
          <w:sz w:val="32"/>
          <w:szCs w:val="32"/>
          <w14:textFill>
            <w14:solidFill>
              <w14:schemeClr w14:val="tx1"/>
            </w14:solidFill>
          </w14:textFill>
        </w:rPr>
        <w:t>同志</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于2013年7月入职广东世纪青山镍业有限公司，</w:t>
      </w:r>
      <w:r>
        <w:rPr>
          <w:rFonts w:hint="eastAsia" w:ascii="仿宋_GB2312" w:hAnsi="仿宋_GB2312" w:eastAsia="仿宋_GB2312" w:cs="仿宋_GB2312"/>
          <w:color w:val="000000" w:themeColor="text1"/>
          <w:sz w:val="32"/>
          <w:szCs w:val="32"/>
          <w14:textFill>
            <w14:solidFill>
              <w14:schemeClr w14:val="tx1"/>
            </w14:solidFill>
          </w14:textFill>
        </w:rPr>
        <w:t>在公司</w:t>
      </w:r>
      <w:r>
        <w:rPr>
          <w:rFonts w:hint="eastAsia" w:ascii="仿宋_GB2312" w:hAnsi="仿宋_GB2312" w:eastAsia="仿宋_GB2312" w:cs="仿宋_GB2312"/>
          <w:color w:val="000000" w:themeColor="text1"/>
          <w:sz w:val="32"/>
          <w:szCs w:val="32"/>
          <w:lang w:eastAsia="zh-CN"/>
          <w14:textFill>
            <w14:solidFill>
              <w14:schemeClr w14:val="tx1"/>
            </w14:solidFill>
          </w14:textFill>
        </w:rPr>
        <w:t>工作</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12年来，先后经历公司企业文化专员、办公室行政主管、办公室副主任、总经办科长、质检部副部长、执行董事助理、公司工会主席等职位，该同志兢兢业业，以厂为家从基层工作一步步做起，责任心强，接受新知识的能力强，</w:t>
      </w:r>
      <w:r>
        <w:rPr>
          <w:rFonts w:hint="eastAsia" w:ascii="仿宋_GB2312" w:hAnsi="仿宋_GB2312" w:eastAsia="仿宋_GB2312" w:cs="仿宋_GB2312"/>
          <w:color w:val="000000" w:themeColor="text1"/>
          <w:sz w:val="32"/>
          <w:szCs w:val="32"/>
          <w:lang w:eastAsia="zh-CN"/>
          <w14:textFill>
            <w14:solidFill>
              <w14:schemeClr w14:val="tx1"/>
            </w14:solidFill>
          </w14:textFill>
        </w:rPr>
        <w:t>有创新精神，敬业好学</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且学有所成，对公司交付的工作干一件成一件，熟悉各部门的工作流程，率先带领团队完成了公司的改革任务；在公司亟需行业必备的从业资格证书之后，主动请缨考取了</w:t>
      </w:r>
      <w:r>
        <w:rPr>
          <w:rFonts w:hint="eastAsia" w:ascii="仿宋_GB2312" w:hAnsi="仿宋_GB2312" w:eastAsia="仿宋_GB2312" w:cs="仿宋_GB2312"/>
          <w:color w:val="000000" w:themeColor="text1"/>
          <w:sz w:val="32"/>
          <w:szCs w:val="32"/>
          <w:lang w:eastAsia="zh-CN"/>
          <w14:textFill>
            <w14:solidFill>
              <w14:schemeClr w14:val="tx1"/>
            </w14:solidFill>
          </w14:textFill>
        </w:rPr>
        <w:t>中级注册安全工程师证书，为企业的可持续发展发挥了应有的贡献。</w:t>
      </w:r>
      <w:r>
        <w:rPr>
          <w:rFonts w:hint="eastAsia" w:ascii="仿宋_GB2312" w:hAnsi="仿宋_GB2312" w:eastAsia="仿宋_GB2312" w:cs="仿宋_GB2312"/>
          <w:sz w:val="32"/>
          <w:szCs w:val="32"/>
          <w:lang w:val="en-US" w:eastAsia="zh-CN"/>
        </w:rPr>
        <w:t>此外，林常青同志热衷于</w:t>
      </w:r>
      <w:r>
        <w:rPr>
          <w:rFonts w:hint="eastAsia" w:ascii="仿宋_GB2312" w:hAnsi="仿宋_GB2312" w:eastAsia="仿宋_GB2312" w:cs="仿宋_GB2312"/>
          <w:sz w:val="32"/>
          <w:szCs w:val="32"/>
          <w:lang w:eastAsia="zh-CN"/>
        </w:rPr>
        <w:t>公益活动，</w:t>
      </w:r>
      <w:r>
        <w:rPr>
          <w:rFonts w:hint="eastAsia" w:ascii="仿宋_GB2312" w:hAnsi="仿宋_GB2312" w:eastAsia="仿宋_GB2312" w:cs="仿宋_GB2312"/>
          <w:sz w:val="32"/>
          <w:szCs w:val="32"/>
          <w:lang w:val="en-US" w:eastAsia="zh-CN"/>
        </w:rPr>
        <w:t>每年定期组织开展</w:t>
      </w:r>
      <w:r>
        <w:rPr>
          <w:rFonts w:hint="eastAsia" w:ascii="仿宋_GB2312" w:hAnsi="仿宋_GB2312" w:eastAsia="仿宋_GB2312" w:cs="仿宋_GB2312"/>
          <w:sz w:val="32"/>
          <w:szCs w:val="32"/>
          <w:lang w:eastAsia="zh-CN"/>
        </w:rPr>
        <w:t>扶贫济困</w:t>
      </w:r>
      <w:r>
        <w:rPr>
          <w:rFonts w:hint="eastAsia" w:ascii="仿宋_GB2312" w:hAnsi="仿宋_GB2312" w:eastAsia="仿宋_GB2312" w:cs="仿宋_GB2312"/>
          <w:sz w:val="32"/>
          <w:szCs w:val="32"/>
          <w:lang w:val="en-US" w:eastAsia="zh-CN"/>
        </w:rPr>
        <w:t>活动</w:t>
      </w:r>
      <w:r>
        <w:rPr>
          <w:rFonts w:hint="eastAsia" w:ascii="仿宋_GB2312" w:hAnsi="仿宋_GB2312" w:eastAsia="仿宋_GB2312" w:cs="仿宋_GB2312"/>
          <w:sz w:val="32"/>
          <w:szCs w:val="32"/>
          <w:lang w:eastAsia="zh-CN"/>
        </w:rPr>
        <w:t>，为社会做出了积极贡献。</w:t>
      </w:r>
    </w:p>
    <w:p w14:paraId="5D7699D9">
      <w:pPr>
        <w:numPr>
          <w:ilvl w:val="0"/>
          <w:numId w:val="0"/>
        </w:numPr>
        <w:spacing w:line="240" w:lineRule="auto"/>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2025年，林常青任公司副总经理，继续推动公司的高质量发展，在安全、环保、能源、质量、降本增效等方面积极作为，</w:t>
      </w:r>
      <w:r>
        <w:rPr>
          <w:rFonts w:hint="eastAsia" w:ascii="仿宋_GB2312" w:hAnsi="仿宋_GB2312" w:eastAsia="仿宋_GB2312" w:cs="仿宋_GB2312"/>
          <w:sz w:val="32"/>
          <w:szCs w:val="32"/>
          <w:lang w:eastAsia="zh-CN"/>
        </w:rPr>
        <w:t>广东世纪青山镍业有限公司是阳江千亿级合金产业的上游企业，</w:t>
      </w:r>
      <w:r>
        <w:rPr>
          <w:rFonts w:hint="eastAsia" w:ascii="仿宋_GB2312" w:hAnsi="仿宋_GB2312" w:eastAsia="仿宋_GB2312" w:cs="仿宋_GB2312"/>
          <w:sz w:val="32"/>
          <w:szCs w:val="32"/>
          <w:lang w:val="en-US" w:eastAsia="zh-CN"/>
        </w:rPr>
        <w:t>全体世青人将勠力同心，为阳江经济的发展做出贡献</w:t>
      </w:r>
      <w:r>
        <w:rPr>
          <w:rFonts w:hint="eastAsia" w:ascii="仿宋_GB2312" w:hAnsi="仿宋_GB2312" w:eastAsia="仿宋_GB2312" w:cs="仿宋_GB2312"/>
          <w:sz w:val="32"/>
          <w:szCs w:val="32"/>
          <w:lang w:eastAsia="zh-CN"/>
        </w:rPr>
        <w:t>。</w:t>
      </w:r>
    </w:p>
    <w:p w14:paraId="3C4D110F">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sz w:val="32"/>
          <w:szCs w:val="32"/>
          <w:lang w:val="en-US" w:eastAsia="zh-CN"/>
        </w:rPr>
      </w:pPr>
    </w:p>
    <w:p w14:paraId="75047A9B">
      <w:pPr>
        <w:keepNext w:val="0"/>
        <w:keepLines w:val="0"/>
        <w:pageBreakBefore w:val="0"/>
        <w:widowControl w:val="0"/>
        <w:kinsoku/>
        <w:wordWrap/>
        <w:overflowPunct/>
        <w:topLinePunct w:val="0"/>
        <w:autoSpaceDE/>
        <w:autoSpaceDN/>
        <w:bidi w:val="0"/>
        <w:adjustRightInd/>
        <w:snapToGrid/>
        <w:spacing w:line="240" w:lineRule="auto"/>
        <w:ind w:firstLine="803" w:firstLineChars="200"/>
        <w:jc w:val="center"/>
        <w:textAlignment w:val="auto"/>
        <w:rPr>
          <w:rFonts w:hint="eastAsia" w:ascii="仿宋_GB2312" w:hAnsi="仿宋_GB2312" w:eastAsia="仿宋_GB2312" w:cs="仿宋_GB2312"/>
          <w:sz w:val="32"/>
          <w:szCs w:val="32"/>
          <w:lang w:val="en-US" w:eastAsia="zh-CN"/>
        </w:rPr>
      </w:pPr>
      <w:r>
        <w:rPr>
          <w:rFonts w:hint="eastAsia" w:asciiTheme="majorEastAsia" w:hAnsiTheme="majorEastAsia" w:eastAsiaTheme="majorEastAsia" w:cstheme="majorEastAsia"/>
          <w:b/>
          <w:bCs/>
          <w:sz w:val="40"/>
          <w:szCs w:val="40"/>
          <w:lang w:val="en-US" w:eastAsia="zh-CN"/>
        </w:rPr>
        <w:t>苏鸿坤同志简要事迹</w:t>
      </w:r>
    </w:p>
    <w:p w14:paraId="04608A82">
      <w:pPr>
        <w:numPr>
          <w:ilvl w:val="0"/>
          <w:numId w:val="0"/>
        </w:numPr>
        <w:spacing w:line="240" w:lineRule="auto"/>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苏鸿坤，男，汉族，1989年10月生，群众，大学本科学历。苏鸿坤自担任大角湾风景区营销部负责人以来，始终秉承服务阳江旅游发展大局的宗旨，以高度的责任感与创新精神，通过品牌重塑、营销创新、文旅融合、智慧赋能及履行社会责任等多措并举，引领景区实现从传统观光向现代休闲度假目的地的跨越式发展与提质升级，为擦亮阳江滨海旅游名片、做大做强旅游经济做出积极贡献。简要事迹如下：</w:t>
      </w:r>
    </w:p>
    <w:p w14:paraId="3F131550">
      <w:pPr>
        <w:numPr>
          <w:ilvl w:val="0"/>
          <w:numId w:val="0"/>
        </w:numPr>
        <w:spacing w:line="240" w:lineRule="auto"/>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一、创新驱动战略转型</w:t>
      </w:r>
    </w:p>
    <w:p w14:paraId="1631AF69">
      <w:pPr>
        <w:numPr>
          <w:ilvl w:val="0"/>
          <w:numId w:val="0"/>
        </w:numPr>
        <w:spacing w:line="240" w:lineRule="auto"/>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破解滨海旅游同质化困局，主导景区从“传统海滨景区”升级为“滨海休闲度假目的地”，精准定位年轻客群与家庭游客需求，实现历史性跃升。</w:t>
      </w:r>
    </w:p>
    <w:p w14:paraId="18403634">
      <w:pPr>
        <w:numPr>
          <w:ilvl w:val="0"/>
          <w:numId w:val="0"/>
        </w:numPr>
        <w:spacing w:line="240" w:lineRule="auto"/>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 xml:space="preserve">二、品牌IP与营销突破 </w:t>
      </w:r>
    </w:p>
    <w:p w14:paraId="54311448">
      <w:pPr>
        <w:numPr>
          <w:ilvl w:val="0"/>
          <w:numId w:val="0"/>
        </w:numPr>
        <w:spacing w:line="240" w:lineRule="auto"/>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1.塑造景区IP“湾湾”（拟人化海豚），开发表情包及短视频，品牌升级后线上搜索热度提升40%，社交媒体互动率跃升65%；  </w:t>
      </w:r>
    </w:p>
    <w:p w14:paraId="5D0CB423">
      <w:pPr>
        <w:numPr>
          <w:ilvl w:val="0"/>
          <w:numId w:val="0"/>
        </w:numPr>
        <w:spacing w:line="240" w:lineRule="auto"/>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2.首创“分众营销”：  </w:t>
      </w:r>
    </w:p>
    <w:p w14:paraId="66CC9357">
      <w:pPr>
        <w:numPr>
          <w:ilvl w:val="0"/>
          <w:numId w:val="0"/>
        </w:numPr>
        <w:spacing w:line="240" w:lineRule="auto"/>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 打造“亲子赶海节”（融合潮汐科普与赶海体验），夯实阳江亲子游市场；  </w:t>
      </w:r>
    </w:p>
    <w:p w14:paraId="45DA260F">
      <w:pPr>
        <w:numPr>
          <w:ilvl w:val="0"/>
          <w:numId w:val="0"/>
        </w:numPr>
        <w:spacing w:line="240" w:lineRule="auto"/>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 创新“户外音乐节+篝火晚会”，激活年轻客群；  </w:t>
      </w:r>
    </w:p>
    <w:p w14:paraId="1D51805C">
      <w:pPr>
        <w:numPr>
          <w:ilvl w:val="0"/>
          <w:numId w:val="0"/>
        </w:numPr>
        <w:spacing w:line="240" w:lineRule="auto"/>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- 2023年推出“早鸟票”等促销策略，加速旅游市场复苏。  </w:t>
      </w:r>
    </w:p>
    <w:p w14:paraId="34D9FBD7">
      <w:pPr>
        <w:numPr>
          <w:ilvl w:val="0"/>
          <w:numId w:val="0"/>
        </w:numPr>
        <w:spacing w:line="240" w:lineRule="auto"/>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3.连续三年获携程口碑大奖（2022山水景点、2023亲子乐园、2024玩水避暑景点）。</w:t>
      </w:r>
    </w:p>
    <w:p w14:paraId="5B52054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三、社会效益与生态担当</w:t>
      </w:r>
    </w:p>
    <w:p w14:paraId="6162ADD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1.推行“阳江人游大角湾”惠民年卡，复购率提升20%，惠及本地民生；  </w:t>
      </w:r>
    </w:p>
    <w:p w14:paraId="123B232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2.发起“大角湾风筝邀请赛”，带动餐饮、住宿等关联产业增长；  </w:t>
      </w:r>
    </w:p>
    <w:p w14:paraId="00DED39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3.常态化组织“净滩计划”，累计清理海洋垃圾超10吨，助力景区获评国家级“中国绿色景区”、“无废景区”。</w:t>
      </w:r>
    </w:p>
    <w:p w14:paraId="4379134E">
      <w:pPr>
        <w:numPr>
          <w:ilvl w:val="0"/>
          <w:numId w:val="0"/>
        </w:numPr>
        <w:spacing w:line="240" w:lineRule="auto"/>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 xml:space="preserve">四、文旅融合与经济贡献  </w:t>
      </w:r>
    </w:p>
    <w:p w14:paraId="2A12D0C3">
      <w:pPr>
        <w:numPr>
          <w:ilvl w:val="0"/>
          <w:numId w:val="0"/>
        </w:numPr>
        <w:spacing w:line="240" w:lineRule="auto"/>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1.推动景区2022年入选“全国文旅融合创新示范景区”；  </w:t>
      </w:r>
    </w:p>
    <w:p w14:paraId="2100B224">
      <w:pPr>
        <w:numPr>
          <w:ilvl w:val="0"/>
          <w:numId w:val="0"/>
        </w:numPr>
        <w:spacing w:line="240" w:lineRule="auto"/>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2.游客量从2018年80万人次增至2024年180万人次，年均复合增长率25% ；  </w:t>
      </w:r>
    </w:p>
    <w:p w14:paraId="394E4E8C">
      <w:pPr>
        <w:numPr>
          <w:ilvl w:val="0"/>
          <w:numId w:val="0"/>
        </w:numPr>
        <w:spacing w:line="240" w:lineRule="auto"/>
        <w:ind w:firstLine="640" w:firstLineChars="200"/>
        <w:rPr>
          <w:rFonts w:hint="eastAsia" w:ascii="方正小标宋简体" w:hAnsi="方正小标宋简体" w:eastAsia="方正小标宋简体" w:cs="方正小标宋简体"/>
          <w:b/>
          <w:bCs/>
          <w:sz w:val="44"/>
          <w:szCs w:val="44"/>
          <w:lang w:val="en-US" w:eastAsia="zh-CN"/>
        </w:rPr>
      </w:pPr>
      <w:r>
        <w:rPr>
          <w:rFonts w:hint="eastAsia" w:ascii="仿宋_GB2312" w:hAnsi="仿宋_GB2312" w:eastAsia="仿宋_GB2312" w:cs="仿宋_GB2312"/>
          <w:sz w:val="32"/>
          <w:szCs w:val="32"/>
          <w:lang w:val="en-US" w:eastAsia="zh-CN"/>
        </w:rPr>
        <w:t>3. 综合收入跨越式增长，显著拉动地方经济，实现社会效益与经济效益双丰收。</w:t>
      </w:r>
    </w:p>
    <w:p w14:paraId="1BD186D3">
      <w:pPr>
        <w:keepNext w:val="0"/>
        <w:keepLines w:val="0"/>
        <w:pageBreakBefore w:val="0"/>
        <w:widowControl w:val="0"/>
        <w:kinsoku/>
        <w:wordWrap/>
        <w:overflowPunct/>
        <w:topLinePunct w:val="0"/>
        <w:autoSpaceDE/>
        <w:autoSpaceDN/>
        <w:bidi w:val="0"/>
        <w:adjustRightInd/>
        <w:snapToGrid/>
        <w:spacing w:line="760" w:lineRule="exact"/>
        <w:jc w:val="center"/>
        <w:textAlignment w:val="auto"/>
        <w:rPr>
          <w:rFonts w:hint="eastAsia" w:ascii="方正小标宋简体" w:hAnsi="方正小标宋简体" w:eastAsia="方正小标宋简体" w:cs="方正小标宋简体"/>
          <w:b/>
          <w:bCs/>
          <w:sz w:val="44"/>
          <w:szCs w:val="44"/>
          <w:lang w:val="en-US" w:eastAsia="zh-CN"/>
        </w:rPr>
      </w:pPr>
      <w:r>
        <w:rPr>
          <w:rFonts w:hint="eastAsia" w:ascii="方正小标宋简体" w:hAnsi="方正小标宋简体" w:eastAsia="方正小标宋简体" w:cs="方正小标宋简体"/>
          <w:b/>
          <w:bCs/>
          <w:sz w:val="44"/>
          <w:szCs w:val="44"/>
          <w:lang w:val="en-US" w:eastAsia="zh-CN"/>
        </w:rPr>
        <w:t>阳江滨海新区（阳江高新区）2025年阳江市先进集体推荐对象简要事迹</w:t>
      </w:r>
    </w:p>
    <w:p w14:paraId="5EAEDC61">
      <w:pPr>
        <w:keepNext w:val="0"/>
        <w:keepLines w:val="0"/>
        <w:pageBreakBefore w:val="0"/>
        <w:widowControl w:val="0"/>
        <w:kinsoku/>
        <w:wordWrap/>
        <w:overflowPunct/>
        <w:topLinePunct w:val="0"/>
        <w:autoSpaceDE/>
        <w:autoSpaceDN/>
        <w:bidi w:val="0"/>
        <w:adjustRightInd/>
        <w:snapToGrid/>
        <w:spacing w:line="760" w:lineRule="exact"/>
        <w:jc w:val="center"/>
        <w:textAlignment w:val="auto"/>
        <w:rPr>
          <w:rFonts w:hint="eastAsia" w:asciiTheme="majorEastAsia" w:hAnsiTheme="majorEastAsia" w:eastAsiaTheme="majorEastAsia" w:cstheme="majorEastAsia"/>
          <w:b/>
          <w:bCs/>
          <w:sz w:val="40"/>
          <w:szCs w:val="40"/>
          <w:lang w:val="en-US" w:eastAsia="zh-CN"/>
        </w:rPr>
      </w:pPr>
    </w:p>
    <w:p w14:paraId="084A5F57">
      <w:pPr>
        <w:keepNext w:val="0"/>
        <w:keepLines w:val="0"/>
        <w:pageBreakBefore w:val="0"/>
        <w:widowControl w:val="0"/>
        <w:kinsoku/>
        <w:wordWrap/>
        <w:overflowPunct/>
        <w:topLinePunct w:val="0"/>
        <w:autoSpaceDE/>
        <w:autoSpaceDN/>
        <w:bidi w:val="0"/>
        <w:adjustRightInd/>
        <w:snapToGrid/>
        <w:spacing w:line="760" w:lineRule="exact"/>
        <w:jc w:val="center"/>
        <w:textAlignment w:val="auto"/>
        <w:rPr>
          <w:rFonts w:hint="default" w:ascii="方正小标宋简体" w:hAnsi="方正小标宋简体" w:eastAsia="方正小标宋简体" w:cs="方正小标宋简体"/>
          <w:b/>
          <w:bCs/>
          <w:sz w:val="44"/>
          <w:szCs w:val="44"/>
          <w:lang w:val="en-US" w:eastAsia="zh-CN"/>
        </w:rPr>
      </w:pPr>
      <w:r>
        <w:rPr>
          <w:rFonts w:hint="eastAsia" w:asciiTheme="majorEastAsia" w:hAnsiTheme="majorEastAsia" w:eastAsiaTheme="majorEastAsia" w:cstheme="majorEastAsia"/>
          <w:b/>
          <w:bCs/>
          <w:sz w:val="40"/>
          <w:szCs w:val="40"/>
          <w:lang w:val="en-US" w:eastAsia="zh-CN"/>
        </w:rPr>
        <w:t>阳江市公安局高新分局平冈派出所简要事迹</w:t>
      </w:r>
    </w:p>
    <w:p w14:paraId="248B2E18">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华文楷体" w:eastAsia="仿宋_GB2312" w:cs="宋体"/>
          <w:color w:val="auto"/>
          <w:kern w:val="0"/>
          <w:sz w:val="32"/>
          <w:szCs w:val="32"/>
          <w:lang w:val="en-US" w:eastAsia="zh-CN"/>
        </w:rPr>
      </w:pPr>
      <w:r>
        <w:rPr>
          <w:rFonts w:hint="eastAsia" w:ascii="仿宋_GB2312" w:hAnsi="华文楷体" w:eastAsia="仿宋_GB2312" w:cs="宋体"/>
          <w:color w:val="auto"/>
          <w:kern w:val="0"/>
          <w:sz w:val="32"/>
          <w:szCs w:val="32"/>
          <w:lang w:val="en-US" w:eastAsia="zh-CN"/>
        </w:rPr>
        <w:t>阳江市公安局高新分局平冈派出所共有民警28人、辅警32人，辖区面积213平方公里,共24个村(居)委会和155条自然村，目前在册户籍人口10.4万，实际常住人口约6万，为“一镇一局一所”机构设置，辖区治安状况总体较好。平冈派出所始终深入学习贯彻习近平新时代中国特色社会主义思想，强化理论指导作用，不断将党的先进政治理论和先进思想转化为派出所工作开展的理论支撑，充分发挥党建引领效能，不断探索推动党建业务双融双促，推动构建社区主防、警力巡防、警民共防、以宣促防的“四防一体’立体化社会治安防控体系，融合“党建引领+警务下沉”社区工作模式、“全域视频+街面见警”巡逻防控模式、“多部门协同+警民联动”全域共防模式和“新媒体+企业讲座”线上线下同步宣防模式，不断凸显派出所“主防”效能并取得良好成效。2022年至今，辖区刑事、治安警情连续多年同比下降，劳资纠纷、合同纠纷等影响企业建设发展的多项纠纷被我所成功化解，“党员先锋岗”始终走在为民服务的最前沿，辖区群众安全感和满意度评分始终保持全市前列。</w:t>
      </w:r>
    </w:p>
    <w:p w14:paraId="36777666">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华文楷体" w:eastAsia="仿宋_GB2312" w:cs="宋体"/>
          <w:color w:val="auto"/>
          <w:kern w:val="0"/>
          <w:sz w:val="32"/>
          <w:szCs w:val="32"/>
          <w:lang w:val="en-US" w:eastAsia="zh-CN"/>
        </w:rPr>
      </w:pPr>
    </w:p>
    <w:p w14:paraId="2A7E7DBD">
      <w:pPr>
        <w:keepNext w:val="0"/>
        <w:keepLines w:val="0"/>
        <w:pageBreakBefore w:val="0"/>
        <w:widowControl w:val="0"/>
        <w:kinsoku/>
        <w:wordWrap/>
        <w:overflowPunct/>
        <w:topLinePunct w:val="0"/>
        <w:autoSpaceDE/>
        <w:autoSpaceDN/>
        <w:bidi w:val="0"/>
        <w:adjustRightInd/>
        <w:snapToGrid/>
        <w:spacing w:line="360" w:lineRule="auto"/>
        <w:ind w:firstLine="803" w:firstLineChars="200"/>
        <w:textAlignment w:val="auto"/>
        <w:rPr>
          <w:rFonts w:hint="eastAsia" w:ascii="仿宋_GB2312" w:hAnsi="华文楷体" w:eastAsia="仿宋_GB2312" w:cs="宋体"/>
          <w:color w:val="auto"/>
          <w:kern w:val="0"/>
          <w:sz w:val="32"/>
          <w:szCs w:val="32"/>
          <w:lang w:val="en-US" w:eastAsia="zh-CN"/>
        </w:rPr>
      </w:pPr>
      <w:r>
        <w:rPr>
          <w:rFonts w:hint="eastAsia" w:asciiTheme="majorEastAsia" w:hAnsiTheme="majorEastAsia" w:eastAsiaTheme="majorEastAsia" w:cstheme="majorEastAsia"/>
          <w:b/>
          <w:bCs/>
          <w:sz w:val="40"/>
          <w:szCs w:val="40"/>
          <w:lang w:val="en-US" w:eastAsia="zh-CN"/>
        </w:rPr>
        <w:t>广东明阳新能源科技有限公司简要事迹</w:t>
      </w:r>
    </w:p>
    <w:p w14:paraId="02FFF757">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华文楷体" w:eastAsia="仿宋_GB2312" w:cs="宋体"/>
          <w:color w:val="auto"/>
          <w:kern w:val="0"/>
          <w:sz w:val="32"/>
          <w:szCs w:val="32"/>
          <w:lang w:val="en-US" w:eastAsia="zh-CN"/>
        </w:rPr>
      </w:pPr>
      <w:r>
        <w:rPr>
          <w:rFonts w:hint="eastAsia" w:ascii="仿宋_GB2312" w:hAnsi="华文楷体" w:eastAsia="仿宋_GB2312" w:cs="宋体"/>
          <w:color w:val="auto"/>
          <w:kern w:val="0"/>
          <w:sz w:val="32"/>
          <w:szCs w:val="32"/>
          <w:lang w:val="en-US" w:eastAsia="zh-CN"/>
        </w:rPr>
        <w:t>在南海之滨的阳江，广东明阳新能源科技公司打造的现代化风电装备制造基地，是国家级高新技术企业、专精特新中小企业、广东省工程技术研究中心，阳江市风能协会副会长单位。先后获评“广东省守合同重信用企业”“省级示范性就业扶贫基地”等多项荣誉。自2018年投产以来公司以科技创新为核心，相继下线全球首台MySE5.5MW海上漂浮式机组、亚洲最长111.5米叶片、全球独创 16.6MW双转子机组等重大装备，累计获国家专利21项，支撑明阳集团稳居广东市场首位。</w:t>
      </w:r>
    </w:p>
    <w:p w14:paraId="42BFB16D">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华文楷体" w:eastAsia="仿宋_GB2312" w:cs="宋体"/>
          <w:color w:val="auto"/>
          <w:kern w:val="0"/>
          <w:sz w:val="32"/>
          <w:szCs w:val="32"/>
          <w:lang w:val="en-US" w:eastAsia="zh-CN"/>
        </w:rPr>
      </w:pPr>
      <w:r>
        <w:rPr>
          <w:rFonts w:hint="eastAsia" w:ascii="仿宋_GB2312" w:hAnsi="华文楷体" w:eastAsia="仿宋_GB2312" w:cs="宋体"/>
          <w:color w:val="auto"/>
          <w:kern w:val="0"/>
          <w:sz w:val="32"/>
          <w:szCs w:val="32"/>
          <w:lang w:val="en-US" w:eastAsia="zh-CN"/>
        </w:rPr>
        <w:t>基地积极推进数字化转型，通过MES系统实现全流程数字化管控，2024年获得IS0双认证。独创“网格化安全管控”，连续4年重大事故零发生。疫情期间，明阳公司首创“防疫七步法”，组织千人驻厂确保 520台机组如期交付，2021年产值突破102亿元，创下“明阳速度”。</w:t>
      </w:r>
    </w:p>
    <w:p w14:paraId="419CB807">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华文楷体" w:eastAsia="仿宋_GB2312" w:cs="宋体"/>
          <w:color w:val="auto"/>
          <w:kern w:val="0"/>
          <w:sz w:val="32"/>
          <w:szCs w:val="32"/>
          <w:lang w:val="en-US" w:eastAsia="zh-CN"/>
        </w:rPr>
      </w:pPr>
      <w:r>
        <w:rPr>
          <w:rFonts w:hint="eastAsia" w:ascii="仿宋_GB2312" w:hAnsi="华文楷体" w:eastAsia="仿宋_GB2312" w:cs="宋体"/>
          <w:color w:val="auto"/>
          <w:kern w:val="0"/>
          <w:sz w:val="32"/>
          <w:szCs w:val="32"/>
          <w:lang w:val="en-US" w:eastAsia="zh-CN"/>
        </w:rPr>
        <w:t>公司积极履行社会责任，累计营收227亿元，带动就业8000余人，捐赠扶贫款210万元，赞助文体活动130万元，并持续支持生态保护和乡村振兴。</w:t>
      </w:r>
    </w:p>
    <w:p w14:paraId="3349768F">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华文楷体" w:eastAsia="仿宋_GB2312" w:cs="宋体"/>
          <w:color w:val="auto"/>
          <w:kern w:val="0"/>
          <w:sz w:val="32"/>
          <w:szCs w:val="32"/>
          <w:lang w:val="en-US" w:eastAsia="zh-CN"/>
        </w:rPr>
      </w:pPr>
      <w:r>
        <w:rPr>
          <w:rFonts w:hint="eastAsia" w:ascii="仿宋_GB2312" w:hAnsi="华文楷体" w:eastAsia="仿宋_GB2312" w:cs="宋体"/>
          <w:color w:val="auto"/>
          <w:kern w:val="0"/>
          <w:sz w:val="32"/>
          <w:szCs w:val="32"/>
          <w:lang w:val="en-US" w:eastAsia="zh-CN"/>
        </w:rPr>
        <w:t>展望未来，基地将重点建设零碳工厂，推进节能改造和光伏系统建设;加速国际化战略，以意大利为支点开拓欧洲市场;投资3740万元打造智能化工厂，提升生产效率。这座年轻而充满活力的制造基地，正以创新姿态在“双碳”征程中破浪前行。</w:t>
      </w:r>
    </w:p>
    <w:p w14:paraId="5169B9D3">
      <w:pPr>
        <w:keepNext w:val="0"/>
        <w:keepLines w:val="0"/>
        <w:pageBreakBefore w:val="0"/>
        <w:widowControl w:val="0"/>
        <w:kinsoku/>
        <w:wordWrap/>
        <w:overflowPunct/>
        <w:topLinePunct w:val="0"/>
        <w:autoSpaceDE/>
        <w:autoSpaceDN/>
        <w:bidi w:val="0"/>
        <w:adjustRightInd/>
        <w:snapToGrid/>
        <w:spacing w:line="560" w:lineRule="exact"/>
        <w:ind w:firstLine="803" w:firstLineChars="200"/>
        <w:textAlignment w:val="auto"/>
        <w:rPr>
          <w:rFonts w:hint="eastAsia" w:asciiTheme="majorEastAsia" w:hAnsiTheme="majorEastAsia" w:eastAsiaTheme="majorEastAsia" w:cstheme="majorEastAsia"/>
          <w:b/>
          <w:bCs/>
          <w:sz w:val="40"/>
          <w:szCs w:val="40"/>
          <w:lang w:val="en-US" w:eastAsia="zh-CN"/>
        </w:rPr>
      </w:pPr>
    </w:p>
    <w:p w14:paraId="2539F482">
      <w:pPr>
        <w:keepNext w:val="0"/>
        <w:keepLines w:val="0"/>
        <w:pageBreakBefore w:val="0"/>
        <w:widowControl w:val="0"/>
        <w:kinsoku/>
        <w:wordWrap/>
        <w:overflowPunct/>
        <w:topLinePunct w:val="0"/>
        <w:autoSpaceDE/>
        <w:autoSpaceDN/>
        <w:bidi w:val="0"/>
        <w:adjustRightInd/>
        <w:snapToGrid/>
        <w:spacing w:line="360" w:lineRule="auto"/>
        <w:ind w:firstLine="803" w:firstLineChars="200"/>
        <w:textAlignment w:val="auto"/>
        <w:rPr>
          <w:rFonts w:hint="eastAsia" w:ascii="仿宋_GB2312" w:hAnsi="华文楷体" w:eastAsia="仿宋_GB2312" w:cs="宋体"/>
          <w:color w:val="auto"/>
          <w:kern w:val="0"/>
          <w:sz w:val="32"/>
          <w:szCs w:val="32"/>
          <w:lang w:val="en-US" w:eastAsia="zh-CN"/>
        </w:rPr>
      </w:pPr>
      <w:r>
        <w:rPr>
          <w:rFonts w:hint="eastAsia" w:asciiTheme="majorEastAsia" w:hAnsiTheme="majorEastAsia" w:eastAsiaTheme="majorEastAsia" w:cstheme="majorEastAsia"/>
          <w:b/>
          <w:bCs/>
          <w:sz w:val="40"/>
          <w:szCs w:val="40"/>
          <w:lang w:val="en-US" w:eastAsia="zh-CN"/>
        </w:rPr>
        <w:t>广东广青金属压延有限公司简要事迹</w:t>
      </w:r>
    </w:p>
    <w:p w14:paraId="0F97BF37">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eastAsia" w:ascii="仿宋_GB2312" w:hAnsi="华文楷体" w:eastAsia="仿宋_GB2312" w:cs="宋体"/>
          <w:color w:val="auto"/>
          <w:kern w:val="0"/>
          <w:sz w:val="32"/>
          <w:szCs w:val="32"/>
          <w:lang w:val="en-US" w:eastAsia="zh-CN"/>
        </w:rPr>
      </w:pPr>
      <w:r>
        <w:rPr>
          <w:rFonts w:hint="eastAsia" w:ascii="仿宋_GB2312" w:hAnsi="华文楷体" w:eastAsia="仿宋_GB2312" w:cs="宋体"/>
          <w:color w:val="auto"/>
          <w:kern w:val="0"/>
          <w:sz w:val="32"/>
          <w:szCs w:val="32"/>
          <w:lang w:val="en-US" w:eastAsia="zh-CN"/>
        </w:rPr>
        <w:t>广青压延由世界500强大型企业广新集团与广青科技合资组建，是阳江市打造千亿级合金材料产业集群承上启下的关键项目，创下国内同类型工程中建设工期最短、投产到达产时间最短、当年投产当年盈利的显著成绩，贯通不锈钢热轧和冷轧两大关键环节，形成从冶炼到压延、深加工的全产业链格局，是阳江经济发展的主力军。曾获“广东省专精特新中小企业”“先进材料产业集群企业”等称号，市场竞争力突出。广青压延建设以来总投资超20亿元，利税14.91亿元，为地方经济做出了应有的贡献。</w:t>
      </w:r>
    </w:p>
    <w:p w14:paraId="200D4BF6">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643" w:firstLineChars="200"/>
        <w:jc w:val="left"/>
        <w:textAlignment w:val="auto"/>
        <w:rPr>
          <w:rFonts w:hint="eastAsia" w:ascii="仿宋_GB2312" w:hAnsi="华文楷体" w:eastAsia="仿宋_GB2312" w:cs="宋体"/>
          <w:color w:val="auto"/>
          <w:kern w:val="0"/>
          <w:sz w:val="32"/>
          <w:szCs w:val="32"/>
          <w:lang w:val="en-US" w:eastAsia="zh-CN"/>
        </w:rPr>
      </w:pPr>
      <w:r>
        <w:rPr>
          <w:rFonts w:hint="eastAsia" w:ascii="仿宋_GB2312" w:hAnsi="华文楷体" w:eastAsia="仿宋_GB2312" w:cs="宋体"/>
          <w:b/>
          <w:bCs/>
          <w:color w:val="auto"/>
          <w:kern w:val="0"/>
          <w:sz w:val="32"/>
          <w:szCs w:val="32"/>
          <w:lang w:val="en-US" w:eastAsia="zh-CN"/>
        </w:rPr>
        <w:t>党建引领聚合力，筑牢发展根基。</w:t>
      </w:r>
      <w:r>
        <w:rPr>
          <w:rFonts w:hint="eastAsia" w:ascii="仿宋_GB2312" w:hAnsi="华文楷体" w:eastAsia="仿宋_GB2312" w:cs="宋体"/>
          <w:color w:val="auto"/>
          <w:kern w:val="0"/>
          <w:sz w:val="32"/>
          <w:szCs w:val="32"/>
          <w:lang w:val="en-US" w:eastAsia="zh-CN"/>
        </w:rPr>
        <w:t>公司以党建为引领，深化党建与生产经营融合，通过主题党日活动凝聚力量与阳江宏旺等企业共建，围绕产品质量提升、节能减排技术等关键课题开展联合攻坚，2024年轧制精度提升3%、吨钢能耗下降 5%，多次获评“先进党组织”。</w:t>
      </w:r>
    </w:p>
    <w:p w14:paraId="34520E0C">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643" w:firstLineChars="200"/>
        <w:jc w:val="left"/>
        <w:textAlignment w:val="auto"/>
        <w:rPr>
          <w:rFonts w:hint="eastAsia" w:ascii="仿宋_GB2312" w:hAnsi="华文楷体" w:eastAsia="仿宋_GB2312" w:cs="宋体"/>
          <w:color w:val="auto"/>
          <w:kern w:val="0"/>
          <w:sz w:val="32"/>
          <w:szCs w:val="32"/>
          <w:lang w:val="en-US" w:eastAsia="zh-CN"/>
        </w:rPr>
      </w:pPr>
      <w:r>
        <w:rPr>
          <w:rFonts w:hint="eastAsia" w:ascii="仿宋_GB2312" w:hAnsi="华文楷体" w:eastAsia="仿宋_GB2312" w:cs="宋体"/>
          <w:b/>
          <w:bCs/>
          <w:color w:val="auto"/>
          <w:kern w:val="0"/>
          <w:sz w:val="32"/>
          <w:szCs w:val="32"/>
          <w:lang w:val="en-US" w:eastAsia="zh-CN"/>
        </w:rPr>
        <w:t>安全与创新双驱动，树立行业标杆。</w:t>
      </w:r>
      <w:r>
        <w:rPr>
          <w:rFonts w:hint="eastAsia" w:ascii="仿宋_GB2312" w:hAnsi="华文楷体" w:eastAsia="仿宋_GB2312" w:cs="宋体"/>
          <w:color w:val="auto"/>
          <w:kern w:val="0"/>
          <w:sz w:val="32"/>
          <w:szCs w:val="32"/>
          <w:lang w:val="en-US" w:eastAsia="zh-CN"/>
        </w:rPr>
        <w:t>公司以“制度+科技+文化”构建安全管控模式，电控消防水炮响应提速90%通过安全三级标准化评审。自主研发智能制造平台，突破双钢轧制这一技术难题，成为国内掌握这种技术的产线之一.成功轧制1.55mm极薄不锈钢，成为常规热连轧领域成功生产该薄规格的首例。</w:t>
      </w:r>
    </w:p>
    <w:p w14:paraId="02DADC80">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643" w:firstLineChars="200"/>
        <w:jc w:val="left"/>
        <w:textAlignment w:val="auto"/>
        <w:rPr>
          <w:rFonts w:hint="eastAsia" w:ascii="仿宋_GB2312" w:hAnsi="华文楷体" w:eastAsia="仿宋_GB2312" w:cs="宋体"/>
          <w:color w:val="auto"/>
          <w:kern w:val="0"/>
          <w:sz w:val="32"/>
          <w:szCs w:val="32"/>
          <w:lang w:val="en-US" w:eastAsia="zh-CN"/>
        </w:rPr>
      </w:pPr>
      <w:r>
        <w:rPr>
          <w:rFonts w:hint="eastAsia" w:ascii="仿宋_GB2312" w:hAnsi="华文楷体" w:eastAsia="仿宋_GB2312" w:cs="宋体"/>
          <w:b/>
          <w:bCs/>
          <w:color w:val="auto"/>
          <w:kern w:val="0"/>
          <w:sz w:val="32"/>
          <w:szCs w:val="32"/>
          <w:lang w:val="en-US" w:eastAsia="zh-CN"/>
        </w:rPr>
        <w:t>绿色转型促发展，夯实人才支撑。</w:t>
      </w:r>
      <w:r>
        <w:rPr>
          <w:rFonts w:hint="eastAsia" w:ascii="仿宋_GB2312" w:hAnsi="华文楷体" w:eastAsia="仿宋_GB2312" w:cs="宋体"/>
          <w:color w:val="auto"/>
          <w:kern w:val="0"/>
          <w:sz w:val="32"/>
          <w:szCs w:val="32"/>
          <w:lang w:val="en-US" w:eastAsia="zh-CN"/>
        </w:rPr>
        <w:t>工艺优化、余热回收年省超60万元，191个精益项目促绿色发展。劳模工作室育人才，申报专利54项、高企项目59项，双周授课覆盖2500余人次，筑牢发展根基。</w:t>
      </w:r>
    </w:p>
    <w:p w14:paraId="4E0B9F27">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12E521"/>
    <w:multiLevelType w:val="singleLevel"/>
    <w:tmpl w:val="1D12E521"/>
    <w:lvl w:ilvl="0" w:tentative="0">
      <w:start w:val="1"/>
      <w:numFmt w:val="chineseCounting"/>
      <w:suff w:val="nothing"/>
      <w:lvlText w:val="%1、"/>
      <w:lvlJc w:val="left"/>
      <w:rPr>
        <w:rFonts w:hint="eastAsia"/>
      </w:rPr>
    </w:lvl>
  </w:abstractNum>
  <w:abstractNum w:abstractNumId="1">
    <w:nsid w:val="59D56F79"/>
    <w:multiLevelType w:val="singleLevel"/>
    <w:tmpl w:val="59D56F79"/>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CC2543"/>
    <w:rsid w:val="56CC25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2025-10-27T01:42:00Z</dcterms:created>
  <dc:creator>eggplant。</dc:creator>
  <cp:lastModifiedBy>eggplant。</cp:lastModifiedBy>
  <dcterms:modified xsi:type="dcterms:W3CDTF">2025-10-27T01:43:17Z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E81238490B88469784E1BE4DDF3F1729_11</vt:lpwstr>
  </property>
  <property fmtid="{D5CDD505-2E9C-101B-9397-08002B2CF9AE}" pid="4" name="KSOTemplateDocerSaveRecord">
    <vt:lpwstr>eyJoZGlkIjoiOWIxZjkxZTk4YjQzMmQyYTk1M2JjMzVjMzVhZTVlZGMiLCJ1c2VySWQiOiIzNjkzODM0NDEifQ==</vt:lpwstr>
  </property>
</Properties>
</file>