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E7B78">
      <w:pPr>
        <w:rPr>
          <w:rFonts w:ascii="仿宋_GB2312" w:eastAsia="仿宋_GB2312"/>
        </w:rPr>
      </w:pPr>
    </w:p>
    <w:p w14:paraId="7FFE294D">
      <w:pPr>
        <w:pStyle w:val="44"/>
        <w:jc w:val="center"/>
        <w:rPr>
          <w:rFonts w:ascii="仿宋_GB2312" w:hAnsi="华文中宋" w:eastAsia="仿宋_GB2312"/>
          <w:sz w:val="44"/>
          <w:szCs w:val="44"/>
        </w:rPr>
      </w:pPr>
    </w:p>
    <w:p w14:paraId="78214D85">
      <w:pPr>
        <w:pStyle w:val="44"/>
        <w:jc w:val="center"/>
        <w:rPr>
          <w:rFonts w:ascii="仿宋_GB2312" w:hAnsi="华文中宋" w:eastAsia="仿宋_GB2312"/>
          <w:sz w:val="44"/>
          <w:szCs w:val="44"/>
        </w:rPr>
      </w:pPr>
    </w:p>
    <w:p w14:paraId="72560108">
      <w:pPr>
        <w:pStyle w:val="44"/>
        <w:jc w:val="center"/>
        <w:rPr>
          <w:rFonts w:ascii="仿宋_GB2312" w:hAnsi="华文中宋" w:eastAsia="仿宋_GB2312"/>
          <w:sz w:val="52"/>
          <w:szCs w:val="52"/>
        </w:rPr>
      </w:pPr>
      <w:r>
        <w:rPr>
          <w:rFonts w:hint="eastAsia" w:ascii="仿宋_GB2312" w:hAnsi="华文中宋" w:eastAsia="仿宋_GB2312"/>
          <w:sz w:val="52"/>
          <w:szCs w:val="52"/>
        </w:rPr>
        <w:t>阳江高新区水污染防治工作方案</w:t>
      </w:r>
    </w:p>
    <w:p w14:paraId="3D6E98A1">
      <w:pPr>
        <w:pStyle w:val="44"/>
        <w:jc w:val="center"/>
        <w:rPr>
          <w:rFonts w:ascii="仿宋_GB2312" w:hAnsi="华文中宋" w:eastAsia="仿宋_GB2312"/>
          <w:sz w:val="52"/>
          <w:szCs w:val="52"/>
        </w:rPr>
      </w:pPr>
      <w:r>
        <w:rPr>
          <w:rFonts w:hint="eastAsia" w:ascii="仿宋_GB2312" w:hAnsi="华文中宋" w:eastAsia="仿宋_GB2312"/>
          <w:sz w:val="52"/>
          <w:szCs w:val="52"/>
        </w:rPr>
        <w:t>(征求意见稿）</w:t>
      </w:r>
    </w:p>
    <w:p w14:paraId="3F7E6BAC">
      <w:pPr>
        <w:rPr>
          <w:rFonts w:ascii="仿宋_GB2312" w:eastAsia="仿宋_GB2312"/>
        </w:rPr>
      </w:pPr>
    </w:p>
    <w:p w14:paraId="5543B6E0">
      <w:pPr>
        <w:rPr>
          <w:rFonts w:ascii="仿宋_GB2312" w:eastAsia="仿宋_GB2312"/>
        </w:rPr>
      </w:pPr>
    </w:p>
    <w:p w14:paraId="1901BD6C">
      <w:pPr>
        <w:rPr>
          <w:rFonts w:ascii="仿宋_GB2312" w:eastAsia="仿宋_GB2312"/>
        </w:rPr>
      </w:pPr>
    </w:p>
    <w:p w14:paraId="27F48C72">
      <w:pPr>
        <w:rPr>
          <w:rFonts w:ascii="仿宋_GB2312" w:eastAsia="仿宋_GB2312"/>
        </w:rPr>
      </w:pPr>
    </w:p>
    <w:p w14:paraId="5F57220B">
      <w:pPr>
        <w:rPr>
          <w:rFonts w:ascii="仿宋_GB2312" w:eastAsia="仿宋_GB2312"/>
        </w:rPr>
      </w:pPr>
    </w:p>
    <w:p w14:paraId="3AF15262">
      <w:pPr>
        <w:rPr>
          <w:rFonts w:ascii="仿宋_GB2312" w:eastAsia="仿宋_GB2312"/>
        </w:rPr>
      </w:pPr>
    </w:p>
    <w:p w14:paraId="12766FA5">
      <w:pPr>
        <w:rPr>
          <w:rFonts w:ascii="仿宋_GB2312" w:eastAsia="仿宋_GB2312"/>
        </w:rPr>
      </w:pPr>
    </w:p>
    <w:p w14:paraId="2A5875E9">
      <w:pPr>
        <w:rPr>
          <w:rFonts w:ascii="仿宋_GB2312" w:eastAsia="仿宋_GB2312"/>
        </w:rPr>
      </w:pPr>
    </w:p>
    <w:p w14:paraId="078D15C9">
      <w:pPr>
        <w:rPr>
          <w:rFonts w:ascii="仿宋_GB2312" w:eastAsia="仿宋_GB2312"/>
        </w:rPr>
      </w:pPr>
    </w:p>
    <w:p w14:paraId="719C7214">
      <w:pPr>
        <w:rPr>
          <w:rFonts w:ascii="仿宋_GB2312" w:eastAsia="仿宋_GB2312"/>
        </w:rPr>
      </w:pPr>
    </w:p>
    <w:p w14:paraId="5AB43CD5">
      <w:pPr>
        <w:rPr>
          <w:rFonts w:ascii="仿宋_GB2312" w:eastAsia="仿宋_GB2312"/>
        </w:rPr>
      </w:pPr>
    </w:p>
    <w:p w14:paraId="6352E44E">
      <w:pPr>
        <w:spacing w:line="480" w:lineRule="auto"/>
        <w:rPr>
          <w:rFonts w:ascii="仿宋_GB2312" w:eastAsia="仿宋_GB2312"/>
          <w:sz w:val="36"/>
          <w:szCs w:val="36"/>
        </w:rPr>
      </w:pPr>
    </w:p>
    <w:p w14:paraId="7E050F60">
      <w:pPr>
        <w:spacing w:line="480" w:lineRule="auto"/>
        <w:rPr>
          <w:rFonts w:ascii="仿宋_GB2312" w:eastAsia="仿宋_GB2312"/>
          <w:sz w:val="36"/>
          <w:szCs w:val="36"/>
        </w:rPr>
      </w:pPr>
    </w:p>
    <w:p w14:paraId="3C57E36E">
      <w:pPr>
        <w:spacing w:line="480" w:lineRule="auto"/>
        <w:rPr>
          <w:rFonts w:ascii="仿宋_GB2312" w:eastAsia="仿宋_GB2312"/>
          <w:sz w:val="36"/>
          <w:szCs w:val="36"/>
        </w:rPr>
      </w:pPr>
    </w:p>
    <w:p w14:paraId="461D1219">
      <w:pPr>
        <w:spacing w:line="480" w:lineRule="auto"/>
        <w:rPr>
          <w:rFonts w:ascii="仿宋_GB2312" w:eastAsia="仿宋_GB2312"/>
          <w:sz w:val="36"/>
          <w:szCs w:val="36"/>
        </w:rPr>
      </w:pPr>
    </w:p>
    <w:p w14:paraId="642E2CD4">
      <w:pPr>
        <w:spacing w:line="480" w:lineRule="auto"/>
        <w:rPr>
          <w:rFonts w:ascii="仿宋_GB2312" w:eastAsia="仿宋_GB2312"/>
          <w:sz w:val="36"/>
          <w:szCs w:val="36"/>
        </w:rPr>
      </w:pPr>
    </w:p>
    <w:p w14:paraId="40CF2590">
      <w:pPr>
        <w:spacing w:line="480" w:lineRule="auto"/>
        <w:rPr>
          <w:rFonts w:ascii="仿宋_GB2312" w:eastAsia="仿宋_GB2312"/>
          <w:sz w:val="36"/>
          <w:szCs w:val="36"/>
        </w:rPr>
      </w:pPr>
    </w:p>
    <w:p w14:paraId="21C3A9BA">
      <w:pPr>
        <w:spacing w:line="480" w:lineRule="auto"/>
        <w:rPr>
          <w:rFonts w:ascii="仿宋_GB2312" w:eastAsia="仿宋_GB2312"/>
          <w:sz w:val="36"/>
          <w:szCs w:val="36"/>
        </w:rPr>
      </w:pPr>
    </w:p>
    <w:p w14:paraId="2BC9ADFA">
      <w:pPr>
        <w:spacing w:line="1000" w:lineRule="exact"/>
        <w:jc w:val="center"/>
        <w:rPr>
          <w:rFonts w:ascii="仿宋_GB2312" w:eastAsia="仿宋_GB2312"/>
          <w:sz w:val="32"/>
          <w:szCs w:val="32"/>
        </w:rPr>
      </w:pPr>
      <w:r>
        <w:rPr>
          <w:rFonts w:hint="eastAsia" w:ascii="仿宋_GB2312" w:eastAsia="仿宋_GB2312"/>
          <w:sz w:val="32"/>
          <w:szCs w:val="32"/>
        </w:rPr>
        <w:t>阳江高新区</w:t>
      </w:r>
      <w:r>
        <w:rPr>
          <w:rFonts w:hint="eastAsia" w:ascii="仿宋_GB2312" w:eastAsia="仿宋_GB2312"/>
          <w:sz w:val="32"/>
          <w:szCs w:val="32"/>
          <w:lang w:eastAsia="zh-CN"/>
        </w:rPr>
        <w:t>管委会</w:t>
      </w:r>
    </w:p>
    <w:p w14:paraId="06857891">
      <w:pPr>
        <w:spacing w:line="1000" w:lineRule="exact"/>
        <w:jc w:val="center"/>
        <w:rPr>
          <w:rFonts w:ascii="仿宋_GB2312" w:eastAsia="仿宋_GB2312"/>
        </w:rPr>
      </w:pPr>
      <w:r>
        <w:rPr>
          <w:rFonts w:hint="eastAsia" w:ascii="仿宋_GB2312" w:eastAsia="仿宋_GB2312"/>
          <w:sz w:val="32"/>
          <w:szCs w:val="32"/>
        </w:rPr>
        <w:t>二</w:t>
      </w:r>
      <w:r>
        <w:rPr>
          <w:rFonts w:hint="eastAsia" w:ascii="仿宋_GB2312"/>
          <w:sz w:val="32"/>
          <w:szCs w:val="32"/>
        </w:rPr>
        <w:t>〇</w:t>
      </w:r>
      <w:r>
        <w:rPr>
          <w:rFonts w:hint="eastAsia" w:ascii="仿宋_GB2312" w:eastAsia="仿宋_GB2312"/>
          <w:sz w:val="32"/>
          <w:szCs w:val="32"/>
        </w:rPr>
        <w:t>一七年</w:t>
      </w:r>
      <w:r>
        <w:rPr>
          <w:rFonts w:hint="eastAsia" w:ascii="仿宋_GB2312" w:eastAsia="仿宋_GB2312"/>
          <w:sz w:val="32"/>
          <w:szCs w:val="32"/>
          <w:lang w:eastAsia="zh-CN"/>
        </w:rPr>
        <w:t>七</w:t>
      </w:r>
      <w:r>
        <w:rPr>
          <w:rFonts w:hint="eastAsia" w:ascii="仿宋_GB2312" w:eastAsia="仿宋_GB2312"/>
          <w:sz w:val="32"/>
          <w:szCs w:val="32"/>
        </w:rPr>
        <w:t>月</w:t>
      </w:r>
    </w:p>
    <w:p w14:paraId="0D987B4F">
      <w:pPr>
        <w:rPr>
          <w:rFonts w:ascii="仿宋_GB2312" w:eastAsia="仿宋_GB2312"/>
        </w:rPr>
      </w:pPr>
    </w:p>
    <w:p w14:paraId="12F4E732">
      <w:pPr>
        <w:rPr>
          <w:rFonts w:ascii="仿宋_GB2312" w:eastAsia="仿宋_GB2312"/>
        </w:rPr>
        <w:sectPr>
          <w:footerReference r:id="rId3" w:type="default"/>
          <w:pgSz w:w="11906" w:h="16838"/>
          <w:pgMar w:top="1440" w:right="1800" w:bottom="1440" w:left="1800" w:header="851" w:footer="992" w:gutter="0"/>
          <w:cols w:space="425" w:num="1"/>
          <w:docGrid w:type="lines" w:linePitch="312" w:charSpace="0"/>
        </w:sectPr>
      </w:pPr>
    </w:p>
    <w:p w14:paraId="4C3ED9A3">
      <w:pPr>
        <w:jc w:val="center"/>
        <w:rPr>
          <w:rFonts w:ascii="仿宋_GB2312" w:hAnsi="黑体" w:eastAsia="仿宋_GB2312" w:cs="黑体"/>
          <w:bCs/>
          <w:sz w:val="36"/>
          <w:szCs w:val="36"/>
        </w:rPr>
      </w:pPr>
      <w:r>
        <w:rPr>
          <w:rFonts w:hint="eastAsia" w:ascii="仿宋_GB2312" w:hAnsi="黑体" w:eastAsia="仿宋_GB2312" w:cs="黑体"/>
          <w:bCs/>
          <w:sz w:val="36"/>
          <w:szCs w:val="36"/>
        </w:rPr>
        <w:t>目  录</w:t>
      </w:r>
    </w:p>
    <w:p w14:paraId="38433BAA">
      <w:pPr>
        <w:pStyle w:val="25"/>
        <w:tabs>
          <w:tab w:val="right" w:leader="dot" w:pos="8296"/>
        </w:tabs>
        <w:rPr>
          <w:rFonts w:asciiTheme="minorHAnsi" w:hAnsiTheme="minorHAnsi" w:eastAsiaTheme="minorEastAsia" w:cstheme="minorBidi"/>
          <w:b w:val="0"/>
          <w:bCs w:val="0"/>
          <w:caps w:val="0"/>
          <w:sz w:val="28"/>
          <w:szCs w:val="28"/>
        </w:rPr>
      </w:pPr>
      <w:r>
        <w:rPr>
          <w:rFonts w:hint="eastAsia" w:ascii="仿宋_GB2312"/>
          <w:b w:val="0"/>
          <w:sz w:val="28"/>
          <w:szCs w:val="28"/>
        </w:rPr>
        <w:fldChar w:fldCharType="begin"/>
      </w:r>
      <w:r>
        <w:rPr>
          <w:rFonts w:hint="eastAsia" w:ascii="仿宋_GB2312"/>
          <w:b w:val="0"/>
          <w:sz w:val="28"/>
          <w:szCs w:val="28"/>
        </w:rPr>
        <w:instrText xml:space="preserve"> TOC \o "1-2" \h \z \u </w:instrText>
      </w:r>
      <w:r>
        <w:rPr>
          <w:rFonts w:hint="eastAsia" w:ascii="仿宋_GB2312"/>
          <w:b w:val="0"/>
          <w:sz w:val="28"/>
          <w:szCs w:val="28"/>
        </w:rPr>
        <w:fldChar w:fldCharType="separate"/>
      </w:r>
      <w:r>
        <w:fldChar w:fldCharType="begin"/>
      </w:r>
      <w:r>
        <w:instrText xml:space="preserve"> HYPERLINK \l "_Toc491959418" </w:instrText>
      </w:r>
      <w:r>
        <w:fldChar w:fldCharType="separate"/>
      </w:r>
      <w:r>
        <w:rPr>
          <w:rStyle w:val="42"/>
          <w:rFonts w:hint="eastAsia" w:ascii="仿宋_GB2312"/>
          <w:sz w:val="28"/>
          <w:szCs w:val="28"/>
        </w:rPr>
        <w:t>一、总体要求</w:t>
      </w:r>
      <w:r>
        <w:rPr>
          <w:sz w:val="28"/>
          <w:szCs w:val="28"/>
        </w:rPr>
        <w:tab/>
      </w:r>
      <w:r>
        <w:rPr>
          <w:sz w:val="28"/>
          <w:szCs w:val="28"/>
        </w:rPr>
        <w:fldChar w:fldCharType="begin"/>
      </w:r>
      <w:r>
        <w:rPr>
          <w:sz w:val="28"/>
          <w:szCs w:val="28"/>
        </w:rPr>
        <w:instrText xml:space="preserve"> PAGEREF _Toc491959418 \h </w:instrText>
      </w:r>
      <w:r>
        <w:rPr>
          <w:sz w:val="28"/>
          <w:szCs w:val="28"/>
        </w:rPr>
        <w:fldChar w:fldCharType="separate"/>
      </w:r>
      <w:r>
        <w:rPr>
          <w:sz w:val="28"/>
          <w:szCs w:val="28"/>
        </w:rPr>
        <w:t>1</w:t>
      </w:r>
      <w:r>
        <w:rPr>
          <w:sz w:val="28"/>
          <w:szCs w:val="28"/>
        </w:rPr>
        <w:fldChar w:fldCharType="end"/>
      </w:r>
      <w:r>
        <w:rPr>
          <w:sz w:val="28"/>
          <w:szCs w:val="28"/>
        </w:rPr>
        <w:fldChar w:fldCharType="end"/>
      </w:r>
    </w:p>
    <w:p w14:paraId="7212C41F">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"_Toc491959419" </w:instrText>
      </w:r>
      <w:r>
        <w:fldChar w:fldCharType="separate"/>
      </w:r>
      <w:r>
        <w:rPr>
          <w:rStyle w:val="42"/>
          <w:rFonts w:hint="eastAsia"/>
          <w:sz w:val="28"/>
          <w:szCs w:val="28"/>
        </w:rPr>
        <w:t>（一）指导思想。</w:t>
      </w:r>
      <w:r>
        <w:rPr>
          <w:sz w:val="28"/>
          <w:szCs w:val="28"/>
        </w:rPr>
        <w:tab/>
      </w:r>
      <w:r>
        <w:rPr>
          <w:sz w:val="28"/>
          <w:szCs w:val="28"/>
        </w:rPr>
        <w:fldChar w:fldCharType="begin"/>
      </w:r>
      <w:r>
        <w:rPr>
          <w:sz w:val="28"/>
          <w:szCs w:val="28"/>
        </w:rPr>
        <w:instrText xml:space="preserve"> PAGEREF _Toc491959419 \h </w:instrText>
      </w:r>
      <w:r>
        <w:rPr>
          <w:sz w:val="28"/>
          <w:szCs w:val="28"/>
        </w:rPr>
        <w:fldChar w:fldCharType="separate"/>
      </w:r>
      <w:r>
        <w:rPr>
          <w:sz w:val="28"/>
          <w:szCs w:val="28"/>
        </w:rPr>
        <w:t>1</w:t>
      </w:r>
      <w:r>
        <w:rPr>
          <w:sz w:val="28"/>
          <w:szCs w:val="28"/>
        </w:rPr>
        <w:fldChar w:fldCharType="end"/>
      </w:r>
      <w:r>
        <w:rPr>
          <w:sz w:val="28"/>
          <w:szCs w:val="28"/>
        </w:rPr>
        <w:fldChar w:fldCharType="end"/>
      </w:r>
    </w:p>
    <w:p w14:paraId="3CA4B4CE">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"_Toc491959420" </w:instrText>
      </w:r>
      <w:r>
        <w:fldChar w:fldCharType="separate"/>
      </w:r>
      <w:r>
        <w:rPr>
          <w:rStyle w:val="42"/>
          <w:rFonts w:hint="eastAsia"/>
          <w:sz w:val="28"/>
          <w:szCs w:val="28"/>
        </w:rPr>
        <w:t>（二）主要原则。</w:t>
      </w:r>
      <w:r>
        <w:rPr>
          <w:sz w:val="28"/>
          <w:szCs w:val="28"/>
        </w:rPr>
        <w:tab/>
      </w:r>
      <w:r>
        <w:rPr>
          <w:sz w:val="28"/>
          <w:szCs w:val="28"/>
        </w:rPr>
        <w:fldChar w:fldCharType="begin"/>
      </w:r>
      <w:r>
        <w:rPr>
          <w:sz w:val="28"/>
          <w:szCs w:val="28"/>
        </w:rPr>
        <w:instrText xml:space="preserve"> PAGEREF _Toc491959420 \h </w:instrText>
      </w:r>
      <w:r>
        <w:rPr>
          <w:sz w:val="28"/>
          <w:szCs w:val="28"/>
        </w:rPr>
        <w:fldChar w:fldCharType="separate"/>
      </w:r>
      <w:r>
        <w:rPr>
          <w:sz w:val="28"/>
          <w:szCs w:val="28"/>
        </w:rPr>
        <w:t>1</w:t>
      </w:r>
      <w:r>
        <w:rPr>
          <w:sz w:val="28"/>
          <w:szCs w:val="28"/>
        </w:rPr>
        <w:fldChar w:fldCharType="end"/>
      </w:r>
      <w:r>
        <w:rPr>
          <w:sz w:val="28"/>
          <w:szCs w:val="28"/>
        </w:rPr>
        <w:fldChar w:fldCharType="end"/>
      </w:r>
    </w:p>
    <w:p w14:paraId="0D01BA5F">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"_Toc491959421" </w:instrText>
      </w:r>
      <w:r>
        <w:fldChar w:fldCharType="separate"/>
      </w:r>
      <w:r>
        <w:rPr>
          <w:rStyle w:val="42"/>
          <w:rFonts w:hint="eastAsia"/>
          <w:sz w:val="28"/>
          <w:szCs w:val="28"/>
        </w:rPr>
        <w:t>（三）工作目标。</w:t>
      </w:r>
      <w:r>
        <w:rPr>
          <w:sz w:val="28"/>
          <w:szCs w:val="28"/>
        </w:rPr>
        <w:tab/>
      </w:r>
      <w:r>
        <w:rPr>
          <w:sz w:val="28"/>
          <w:szCs w:val="28"/>
        </w:rPr>
        <w:fldChar w:fldCharType="begin"/>
      </w:r>
      <w:r>
        <w:rPr>
          <w:sz w:val="28"/>
          <w:szCs w:val="28"/>
        </w:rPr>
        <w:instrText xml:space="preserve"> PAGEREF _Toc491959421 \h </w:instrText>
      </w:r>
      <w:r>
        <w:rPr>
          <w:sz w:val="28"/>
          <w:szCs w:val="28"/>
        </w:rPr>
        <w:fldChar w:fldCharType="separate"/>
      </w:r>
      <w:r>
        <w:rPr>
          <w:sz w:val="28"/>
          <w:szCs w:val="28"/>
        </w:rPr>
        <w:t>3</w:t>
      </w:r>
      <w:r>
        <w:rPr>
          <w:sz w:val="28"/>
          <w:szCs w:val="28"/>
        </w:rPr>
        <w:fldChar w:fldCharType="end"/>
      </w:r>
      <w:r>
        <w:rPr>
          <w:sz w:val="28"/>
          <w:szCs w:val="28"/>
        </w:rPr>
        <w:fldChar w:fldCharType="end"/>
      </w:r>
    </w:p>
    <w:p w14:paraId="6AEF1D82">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"_Toc491959422" </w:instrText>
      </w:r>
      <w:r>
        <w:fldChar w:fldCharType="separate"/>
      </w:r>
      <w:r>
        <w:rPr>
          <w:rStyle w:val="42"/>
          <w:rFonts w:hint="eastAsia"/>
          <w:sz w:val="28"/>
          <w:szCs w:val="28"/>
        </w:rPr>
        <w:t>（四）主要指标。</w:t>
      </w:r>
      <w:r>
        <w:rPr>
          <w:sz w:val="28"/>
          <w:szCs w:val="28"/>
        </w:rPr>
        <w:tab/>
      </w:r>
      <w:r>
        <w:rPr>
          <w:sz w:val="28"/>
          <w:szCs w:val="28"/>
        </w:rPr>
        <w:fldChar w:fldCharType="begin"/>
      </w:r>
      <w:r>
        <w:rPr>
          <w:sz w:val="28"/>
          <w:szCs w:val="28"/>
        </w:rPr>
        <w:instrText xml:space="preserve"> PAGEREF _Toc491959422 \h </w:instrText>
      </w:r>
      <w:r>
        <w:rPr>
          <w:sz w:val="28"/>
          <w:szCs w:val="28"/>
        </w:rPr>
        <w:fldChar w:fldCharType="separate"/>
      </w:r>
      <w:r>
        <w:rPr>
          <w:sz w:val="28"/>
          <w:szCs w:val="28"/>
        </w:rPr>
        <w:t>3</w:t>
      </w:r>
      <w:r>
        <w:rPr>
          <w:sz w:val="28"/>
          <w:szCs w:val="28"/>
        </w:rPr>
        <w:fldChar w:fldCharType="end"/>
      </w:r>
      <w:r>
        <w:rPr>
          <w:sz w:val="28"/>
          <w:szCs w:val="28"/>
        </w:rPr>
        <w:fldChar w:fldCharType="end"/>
      </w:r>
    </w:p>
    <w:p w14:paraId="2251C033">
      <w:pPr>
        <w:pStyle w:val="25"/>
        <w:tabs>
          <w:tab w:val="right" w:leader="dot" w:pos="8296"/>
        </w:tabs>
        <w:rPr>
          <w:rFonts w:asciiTheme="minorHAnsi" w:hAnsiTheme="minorHAnsi" w:eastAsiaTheme="minorEastAsia" w:cstheme="minorBidi"/>
          <w:b w:val="0"/>
          <w:bCs w:val="0"/>
          <w:caps w:val="0"/>
          <w:sz w:val="28"/>
          <w:szCs w:val="28"/>
        </w:rPr>
      </w:pPr>
      <w:r>
        <w:fldChar w:fldCharType="begin"/>
      </w:r>
      <w:r>
        <w:instrText xml:space="preserve"> HYPERLINK \l "_Toc491959423" </w:instrText>
      </w:r>
      <w:r>
        <w:fldChar w:fldCharType="separate"/>
      </w:r>
      <w:r>
        <w:rPr>
          <w:rStyle w:val="42"/>
          <w:rFonts w:hint="eastAsia" w:ascii="仿宋_GB2312"/>
          <w:sz w:val="28"/>
          <w:szCs w:val="28"/>
        </w:rPr>
        <w:t>二、主要防治任务</w:t>
      </w:r>
      <w:r>
        <w:rPr>
          <w:sz w:val="28"/>
          <w:szCs w:val="28"/>
        </w:rPr>
        <w:tab/>
      </w:r>
      <w:r>
        <w:rPr>
          <w:sz w:val="28"/>
          <w:szCs w:val="28"/>
        </w:rPr>
        <w:fldChar w:fldCharType="begin"/>
      </w:r>
      <w:r>
        <w:rPr>
          <w:sz w:val="28"/>
          <w:szCs w:val="28"/>
        </w:rPr>
        <w:instrText xml:space="preserve"> PAGEREF _Toc491959423 \h </w:instrText>
      </w:r>
      <w:r>
        <w:rPr>
          <w:sz w:val="28"/>
          <w:szCs w:val="28"/>
        </w:rPr>
        <w:fldChar w:fldCharType="separate"/>
      </w:r>
      <w:r>
        <w:rPr>
          <w:sz w:val="28"/>
          <w:szCs w:val="28"/>
        </w:rPr>
        <w:t>4</w:t>
      </w:r>
      <w:r>
        <w:rPr>
          <w:sz w:val="28"/>
          <w:szCs w:val="28"/>
        </w:rPr>
        <w:fldChar w:fldCharType="end"/>
      </w:r>
      <w:r>
        <w:rPr>
          <w:sz w:val="28"/>
          <w:szCs w:val="28"/>
        </w:rPr>
        <w:fldChar w:fldCharType="end"/>
      </w:r>
    </w:p>
    <w:p w14:paraId="6F38C7F8">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"_Toc491959424" </w:instrText>
      </w:r>
      <w:r>
        <w:fldChar w:fldCharType="separate"/>
      </w:r>
      <w:r>
        <w:rPr>
          <w:rStyle w:val="42"/>
          <w:rFonts w:hint="eastAsia"/>
          <w:sz w:val="28"/>
          <w:szCs w:val="28"/>
        </w:rPr>
        <w:t>（一）全面控制污染物排放</w:t>
      </w:r>
      <w:r>
        <w:rPr>
          <w:sz w:val="28"/>
          <w:szCs w:val="28"/>
        </w:rPr>
        <w:tab/>
      </w:r>
      <w:r>
        <w:rPr>
          <w:sz w:val="28"/>
          <w:szCs w:val="28"/>
        </w:rPr>
        <w:fldChar w:fldCharType="begin"/>
      </w:r>
      <w:r>
        <w:rPr>
          <w:sz w:val="28"/>
          <w:szCs w:val="28"/>
        </w:rPr>
        <w:instrText xml:space="preserve"> PAGEREF _Toc491959424 \h </w:instrText>
      </w:r>
      <w:r>
        <w:rPr>
          <w:sz w:val="28"/>
          <w:szCs w:val="28"/>
        </w:rPr>
        <w:fldChar w:fldCharType="separate"/>
      </w:r>
      <w:r>
        <w:rPr>
          <w:sz w:val="28"/>
          <w:szCs w:val="28"/>
        </w:rPr>
        <w:t>4</w:t>
      </w:r>
      <w:r>
        <w:rPr>
          <w:sz w:val="28"/>
          <w:szCs w:val="28"/>
        </w:rPr>
        <w:fldChar w:fldCharType="end"/>
      </w:r>
      <w:r>
        <w:rPr>
          <w:sz w:val="28"/>
          <w:szCs w:val="28"/>
        </w:rPr>
        <w:fldChar w:fldCharType="end"/>
      </w:r>
    </w:p>
    <w:p w14:paraId="2CF948F6">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"_Toc491959425" </w:instrText>
      </w:r>
      <w:r>
        <w:fldChar w:fldCharType="separate"/>
      </w:r>
      <w:r>
        <w:rPr>
          <w:rStyle w:val="42"/>
          <w:rFonts w:hint="eastAsia"/>
          <w:sz w:val="28"/>
          <w:szCs w:val="28"/>
        </w:rPr>
        <w:t>（二）推动经济结构转型</w:t>
      </w:r>
      <w:r>
        <w:rPr>
          <w:sz w:val="28"/>
          <w:szCs w:val="28"/>
        </w:rPr>
        <w:tab/>
      </w:r>
      <w:r>
        <w:rPr>
          <w:sz w:val="28"/>
          <w:szCs w:val="28"/>
        </w:rPr>
        <w:fldChar w:fldCharType="begin"/>
      </w:r>
      <w:r>
        <w:rPr>
          <w:sz w:val="28"/>
          <w:szCs w:val="28"/>
        </w:rPr>
        <w:instrText xml:space="preserve"> PAGEREF _Toc491959425 \h </w:instrText>
      </w:r>
      <w:r>
        <w:rPr>
          <w:sz w:val="28"/>
          <w:szCs w:val="28"/>
        </w:rPr>
        <w:fldChar w:fldCharType="separate"/>
      </w:r>
      <w:r>
        <w:rPr>
          <w:sz w:val="28"/>
          <w:szCs w:val="28"/>
        </w:rPr>
        <w:t>10</w:t>
      </w:r>
      <w:r>
        <w:rPr>
          <w:sz w:val="28"/>
          <w:szCs w:val="28"/>
        </w:rPr>
        <w:fldChar w:fldCharType="end"/>
      </w:r>
      <w:r>
        <w:rPr>
          <w:sz w:val="28"/>
          <w:szCs w:val="28"/>
        </w:rPr>
        <w:fldChar w:fldCharType="end"/>
      </w:r>
    </w:p>
    <w:p w14:paraId="27AE0C38">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"_Toc491959426" </w:instrText>
      </w:r>
      <w:r>
        <w:fldChar w:fldCharType="separate"/>
      </w:r>
      <w:r>
        <w:rPr>
          <w:rStyle w:val="42"/>
          <w:rFonts w:hint="eastAsia"/>
          <w:sz w:val="28"/>
          <w:szCs w:val="28"/>
        </w:rPr>
        <w:t>（三）着力节约水资源</w:t>
      </w:r>
      <w:r>
        <w:rPr>
          <w:sz w:val="28"/>
          <w:szCs w:val="28"/>
        </w:rPr>
        <w:tab/>
      </w:r>
      <w:r>
        <w:rPr>
          <w:sz w:val="28"/>
          <w:szCs w:val="28"/>
        </w:rPr>
        <w:fldChar w:fldCharType="begin"/>
      </w:r>
      <w:r>
        <w:rPr>
          <w:sz w:val="28"/>
          <w:szCs w:val="28"/>
        </w:rPr>
        <w:instrText xml:space="preserve"> PAGEREF _Toc491959426 \h </w:instrText>
      </w:r>
      <w:r>
        <w:rPr>
          <w:sz w:val="28"/>
          <w:szCs w:val="28"/>
        </w:rPr>
        <w:fldChar w:fldCharType="separate"/>
      </w:r>
      <w:r>
        <w:rPr>
          <w:sz w:val="28"/>
          <w:szCs w:val="28"/>
        </w:rPr>
        <w:t>14</w:t>
      </w:r>
      <w:r>
        <w:rPr>
          <w:sz w:val="28"/>
          <w:szCs w:val="28"/>
        </w:rPr>
        <w:fldChar w:fldCharType="end"/>
      </w:r>
      <w:r>
        <w:rPr>
          <w:sz w:val="28"/>
          <w:szCs w:val="28"/>
        </w:rPr>
        <w:fldChar w:fldCharType="end"/>
      </w:r>
    </w:p>
    <w:p w14:paraId="6364ABAF">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"_Toc491959427" </w:instrText>
      </w:r>
      <w:r>
        <w:fldChar w:fldCharType="separate"/>
      </w:r>
      <w:r>
        <w:rPr>
          <w:rStyle w:val="42"/>
          <w:rFonts w:hint="eastAsia"/>
          <w:sz w:val="28"/>
          <w:szCs w:val="28"/>
        </w:rPr>
        <w:t>（四）</w:t>
      </w:r>
      <w:r>
        <w:rPr>
          <w:rStyle w:val="42"/>
          <w:rFonts w:hint="eastAsia" w:hAnsi="宋体"/>
          <w:kern w:val="0"/>
          <w:sz w:val="28"/>
          <w:szCs w:val="28"/>
        </w:rPr>
        <w:t>生态优先</w:t>
      </w:r>
      <w:r>
        <w:rPr>
          <w:rStyle w:val="42"/>
          <w:rFonts w:hAnsi="宋体"/>
          <w:sz w:val="28"/>
          <w:szCs w:val="28"/>
        </w:rPr>
        <w:t>,</w:t>
      </w:r>
      <w:r>
        <w:rPr>
          <w:rStyle w:val="42"/>
          <w:rFonts w:hint="eastAsia"/>
          <w:sz w:val="28"/>
          <w:szCs w:val="28"/>
        </w:rPr>
        <w:t>全力保障水生态环境安全</w:t>
      </w:r>
      <w:r>
        <w:rPr>
          <w:sz w:val="28"/>
          <w:szCs w:val="28"/>
        </w:rPr>
        <w:tab/>
      </w:r>
      <w:r>
        <w:rPr>
          <w:sz w:val="28"/>
          <w:szCs w:val="28"/>
        </w:rPr>
        <w:fldChar w:fldCharType="begin"/>
      </w:r>
      <w:r>
        <w:rPr>
          <w:sz w:val="28"/>
          <w:szCs w:val="28"/>
        </w:rPr>
        <w:instrText xml:space="preserve"> PAGEREF _Toc491959427 \h </w:instrText>
      </w:r>
      <w:r>
        <w:rPr>
          <w:sz w:val="28"/>
          <w:szCs w:val="28"/>
        </w:rPr>
        <w:fldChar w:fldCharType="separate"/>
      </w:r>
      <w:r>
        <w:rPr>
          <w:sz w:val="28"/>
          <w:szCs w:val="28"/>
        </w:rPr>
        <w:t>17</w:t>
      </w:r>
      <w:r>
        <w:rPr>
          <w:sz w:val="28"/>
          <w:szCs w:val="28"/>
        </w:rPr>
        <w:fldChar w:fldCharType="end"/>
      </w:r>
      <w:r>
        <w:rPr>
          <w:sz w:val="28"/>
          <w:szCs w:val="28"/>
        </w:rPr>
        <w:fldChar w:fldCharType="end"/>
      </w:r>
    </w:p>
    <w:p w14:paraId="66FE82B9">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"_Toc491959428" </w:instrText>
      </w:r>
      <w:r>
        <w:fldChar w:fldCharType="separate"/>
      </w:r>
      <w:r>
        <w:rPr>
          <w:rStyle w:val="42"/>
          <w:rFonts w:hint="eastAsia"/>
          <w:sz w:val="28"/>
          <w:szCs w:val="28"/>
        </w:rPr>
        <w:t>（五）严格环境执法监管</w:t>
      </w:r>
      <w:r>
        <w:rPr>
          <w:sz w:val="28"/>
          <w:szCs w:val="28"/>
        </w:rPr>
        <w:tab/>
      </w:r>
      <w:r>
        <w:rPr>
          <w:sz w:val="28"/>
          <w:szCs w:val="28"/>
        </w:rPr>
        <w:fldChar w:fldCharType="begin"/>
      </w:r>
      <w:r>
        <w:rPr>
          <w:sz w:val="28"/>
          <w:szCs w:val="28"/>
        </w:rPr>
        <w:instrText xml:space="preserve"> PAGEREF _Toc491959428 \h </w:instrText>
      </w:r>
      <w:r>
        <w:rPr>
          <w:sz w:val="28"/>
          <w:szCs w:val="28"/>
        </w:rPr>
        <w:fldChar w:fldCharType="separate"/>
      </w:r>
      <w:r>
        <w:rPr>
          <w:sz w:val="28"/>
          <w:szCs w:val="28"/>
        </w:rPr>
        <w:t>21</w:t>
      </w:r>
      <w:r>
        <w:rPr>
          <w:sz w:val="28"/>
          <w:szCs w:val="28"/>
        </w:rPr>
        <w:fldChar w:fldCharType="end"/>
      </w:r>
      <w:r>
        <w:rPr>
          <w:sz w:val="28"/>
          <w:szCs w:val="28"/>
        </w:rPr>
        <w:fldChar w:fldCharType="end"/>
      </w:r>
    </w:p>
    <w:p w14:paraId="09C5CCA3">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"_Toc491959429" </w:instrText>
      </w:r>
      <w:r>
        <w:fldChar w:fldCharType="separate"/>
      </w:r>
      <w:r>
        <w:rPr>
          <w:rStyle w:val="42"/>
          <w:rFonts w:hint="eastAsia"/>
          <w:sz w:val="28"/>
          <w:szCs w:val="28"/>
        </w:rPr>
        <w:t>（六）切实加强水环境管理</w:t>
      </w:r>
      <w:r>
        <w:rPr>
          <w:sz w:val="28"/>
          <w:szCs w:val="28"/>
        </w:rPr>
        <w:tab/>
      </w:r>
      <w:r>
        <w:rPr>
          <w:sz w:val="28"/>
          <w:szCs w:val="28"/>
        </w:rPr>
        <w:fldChar w:fldCharType="begin"/>
      </w:r>
      <w:r>
        <w:rPr>
          <w:sz w:val="28"/>
          <w:szCs w:val="28"/>
        </w:rPr>
        <w:instrText xml:space="preserve"> PAGEREF _Toc491959429 \h </w:instrText>
      </w:r>
      <w:r>
        <w:rPr>
          <w:sz w:val="28"/>
          <w:szCs w:val="28"/>
        </w:rPr>
        <w:fldChar w:fldCharType="separate"/>
      </w:r>
      <w:r>
        <w:rPr>
          <w:sz w:val="28"/>
          <w:szCs w:val="28"/>
        </w:rPr>
        <w:t>23</w:t>
      </w:r>
      <w:r>
        <w:rPr>
          <w:sz w:val="28"/>
          <w:szCs w:val="28"/>
        </w:rPr>
        <w:fldChar w:fldCharType="end"/>
      </w:r>
      <w:r>
        <w:rPr>
          <w:sz w:val="28"/>
          <w:szCs w:val="28"/>
        </w:rPr>
        <w:fldChar w:fldCharType="end"/>
      </w:r>
    </w:p>
    <w:p w14:paraId="79B82EFA">
      <w:pPr>
        <w:pStyle w:val="25"/>
        <w:tabs>
          <w:tab w:val="right" w:leader="dot" w:pos="8296"/>
        </w:tabs>
        <w:rPr>
          <w:rFonts w:asciiTheme="minorHAnsi" w:hAnsiTheme="minorHAnsi" w:eastAsiaTheme="minorEastAsia" w:cstheme="minorBidi"/>
          <w:b w:val="0"/>
          <w:bCs w:val="0"/>
          <w:caps w:val="0"/>
          <w:sz w:val="28"/>
          <w:szCs w:val="28"/>
        </w:rPr>
      </w:pPr>
      <w:r>
        <w:fldChar w:fldCharType="begin"/>
      </w:r>
      <w:r>
        <w:instrText xml:space="preserve"> HYPERLINK \l "_Toc491959430" </w:instrText>
      </w:r>
      <w:r>
        <w:fldChar w:fldCharType="separate"/>
      </w:r>
      <w:r>
        <w:rPr>
          <w:rStyle w:val="42"/>
          <w:rFonts w:hint="eastAsia" w:ascii="仿宋_GB2312"/>
          <w:sz w:val="28"/>
          <w:szCs w:val="28"/>
        </w:rPr>
        <w:t>三、保障措施</w:t>
      </w:r>
      <w:r>
        <w:rPr>
          <w:sz w:val="28"/>
          <w:szCs w:val="28"/>
        </w:rPr>
        <w:tab/>
      </w:r>
      <w:r>
        <w:rPr>
          <w:sz w:val="28"/>
          <w:szCs w:val="28"/>
        </w:rPr>
        <w:fldChar w:fldCharType="begin"/>
      </w:r>
      <w:r>
        <w:rPr>
          <w:sz w:val="28"/>
          <w:szCs w:val="28"/>
        </w:rPr>
        <w:instrText xml:space="preserve"> PAGEREF _Toc491959430 \h </w:instrText>
      </w:r>
      <w:r>
        <w:rPr>
          <w:sz w:val="28"/>
          <w:szCs w:val="28"/>
        </w:rPr>
        <w:fldChar w:fldCharType="separate"/>
      </w:r>
      <w:r>
        <w:rPr>
          <w:sz w:val="28"/>
          <w:szCs w:val="28"/>
        </w:rPr>
        <w:t>25</w:t>
      </w:r>
      <w:r>
        <w:rPr>
          <w:sz w:val="28"/>
          <w:szCs w:val="28"/>
        </w:rPr>
        <w:fldChar w:fldCharType="end"/>
      </w:r>
      <w:r>
        <w:rPr>
          <w:sz w:val="28"/>
          <w:szCs w:val="28"/>
        </w:rPr>
        <w:fldChar w:fldCharType="end"/>
      </w:r>
    </w:p>
    <w:p w14:paraId="2E73D015">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"_Toc491959431" </w:instrText>
      </w:r>
      <w:r>
        <w:fldChar w:fldCharType="separate"/>
      </w:r>
      <w:r>
        <w:rPr>
          <w:rStyle w:val="42"/>
          <w:rFonts w:hint="eastAsia"/>
          <w:sz w:val="28"/>
          <w:szCs w:val="28"/>
        </w:rPr>
        <w:t>（一）强化组织领导，明确责任分工。</w:t>
      </w:r>
      <w:r>
        <w:rPr>
          <w:sz w:val="28"/>
          <w:szCs w:val="28"/>
        </w:rPr>
        <w:tab/>
      </w:r>
      <w:r>
        <w:rPr>
          <w:sz w:val="28"/>
          <w:szCs w:val="28"/>
        </w:rPr>
        <w:fldChar w:fldCharType="begin"/>
      </w:r>
      <w:r>
        <w:rPr>
          <w:sz w:val="28"/>
          <w:szCs w:val="28"/>
        </w:rPr>
        <w:instrText xml:space="preserve"> PAGEREF _Toc491959431 \h </w:instrText>
      </w:r>
      <w:r>
        <w:rPr>
          <w:sz w:val="28"/>
          <w:szCs w:val="28"/>
        </w:rPr>
        <w:fldChar w:fldCharType="separate"/>
      </w:r>
      <w:r>
        <w:rPr>
          <w:sz w:val="28"/>
          <w:szCs w:val="28"/>
        </w:rPr>
        <w:t>25</w:t>
      </w:r>
      <w:r>
        <w:rPr>
          <w:sz w:val="28"/>
          <w:szCs w:val="28"/>
        </w:rPr>
        <w:fldChar w:fldCharType="end"/>
      </w:r>
      <w:r>
        <w:rPr>
          <w:sz w:val="28"/>
          <w:szCs w:val="28"/>
        </w:rPr>
        <w:fldChar w:fldCharType="end"/>
      </w:r>
    </w:p>
    <w:p w14:paraId="018237EA">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"_Toc491959432" </w:instrText>
      </w:r>
      <w:r>
        <w:fldChar w:fldCharType="separate"/>
      </w:r>
      <w:r>
        <w:rPr>
          <w:rStyle w:val="42"/>
          <w:rFonts w:hint="eastAsia"/>
          <w:sz w:val="28"/>
          <w:szCs w:val="28"/>
        </w:rPr>
        <w:t>（二）充分发挥市场机制作用</w:t>
      </w:r>
      <w:r>
        <w:rPr>
          <w:sz w:val="28"/>
          <w:szCs w:val="28"/>
        </w:rPr>
        <w:tab/>
      </w:r>
      <w:r>
        <w:rPr>
          <w:sz w:val="28"/>
          <w:szCs w:val="28"/>
        </w:rPr>
        <w:fldChar w:fldCharType="begin"/>
      </w:r>
      <w:r>
        <w:rPr>
          <w:sz w:val="28"/>
          <w:szCs w:val="28"/>
        </w:rPr>
        <w:instrText xml:space="preserve"> PAGEREF _Toc491959432 \h </w:instrText>
      </w:r>
      <w:r>
        <w:rPr>
          <w:sz w:val="28"/>
          <w:szCs w:val="28"/>
        </w:rPr>
        <w:fldChar w:fldCharType="separate"/>
      </w:r>
      <w:r>
        <w:rPr>
          <w:sz w:val="28"/>
          <w:szCs w:val="28"/>
        </w:rPr>
        <w:t>26</w:t>
      </w:r>
      <w:r>
        <w:rPr>
          <w:sz w:val="28"/>
          <w:szCs w:val="28"/>
        </w:rPr>
        <w:fldChar w:fldCharType="end"/>
      </w:r>
      <w:r>
        <w:rPr>
          <w:sz w:val="28"/>
          <w:szCs w:val="28"/>
        </w:rPr>
        <w:fldChar w:fldCharType="end"/>
      </w:r>
    </w:p>
    <w:p w14:paraId="49A331FB">
      <w:pPr>
        <w:pStyle w:val="28"/>
        <w:tabs>
          <w:tab w:val="right" w:leader="dot" w:pos="8296"/>
        </w:tabs>
        <w:rPr>
          <w:rFonts w:asciiTheme="minorHAnsi" w:hAnsiTheme="minorHAnsi" w:eastAsiaTheme="minorEastAsia" w:cstheme="minorBidi"/>
          <w:smallCaps w:val="0"/>
          <w:sz w:val="28"/>
          <w:szCs w:val="28"/>
        </w:rPr>
      </w:pPr>
      <w:r>
        <w:fldChar w:fldCharType="begin"/>
      </w:r>
      <w:r>
        <w:instrText xml:space="preserve"> HYPERLINK \l "_Toc491959433" </w:instrText>
      </w:r>
      <w:r>
        <w:fldChar w:fldCharType="separate"/>
      </w:r>
      <w:r>
        <w:rPr>
          <w:rStyle w:val="42"/>
          <w:rFonts w:hint="eastAsia"/>
          <w:sz w:val="28"/>
          <w:szCs w:val="28"/>
        </w:rPr>
        <w:t>（三）强化公众参与和社会监督</w:t>
      </w:r>
      <w:r>
        <w:rPr>
          <w:sz w:val="28"/>
          <w:szCs w:val="28"/>
        </w:rPr>
        <w:tab/>
      </w:r>
      <w:r>
        <w:rPr>
          <w:sz w:val="28"/>
          <w:szCs w:val="28"/>
        </w:rPr>
        <w:fldChar w:fldCharType="begin"/>
      </w:r>
      <w:r>
        <w:rPr>
          <w:sz w:val="28"/>
          <w:szCs w:val="28"/>
        </w:rPr>
        <w:instrText xml:space="preserve"> PAGEREF _Toc491959433 \h </w:instrText>
      </w:r>
      <w:r>
        <w:rPr>
          <w:sz w:val="28"/>
          <w:szCs w:val="28"/>
        </w:rPr>
        <w:fldChar w:fldCharType="separate"/>
      </w:r>
      <w:r>
        <w:rPr>
          <w:sz w:val="28"/>
          <w:szCs w:val="28"/>
        </w:rPr>
        <w:t>30</w:t>
      </w:r>
      <w:r>
        <w:rPr>
          <w:sz w:val="28"/>
          <w:szCs w:val="28"/>
        </w:rPr>
        <w:fldChar w:fldCharType="end"/>
      </w:r>
      <w:r>
        <w:rPr>
          <w:sz w:val="28"/>
          <w:szCs w:val="28"/>
        </w:rPr>
        <w:fldChar w:fldCharType="end"/>
      </w:r>
    </w:p>
    <w:p w14:paraId="68274F9D">
      <w:pPr>
        <w:pStyle w:val="25"/>
        <w:tabs>
          <w:tab w:val="right" w:leader="dot" w:pos="8296"/>
        </w:tabs>
        <w:rPr>
          <w:rFonts w:asciiTheme="minorHAnsi" w:hAnsiTheme="minorHAnsi" w:eastAsiaTheme="minorEastAsia" w:cstheme="minorBidi"/>
          <w:b w:val="0"/>
          <w:bCs w:val="0"/>
          <w:caps w:val="0"/>
          <w:sz w:val="28"/>
          <w:szCs w:val="28"/>
        </w:rPr>
      </w:pPr>
      <w:r>
        <w:fldChar w:fldCharType="begin"/>
      </w:r>
      <w:r>
        <w:instrText xml:space="preserve"> HYPERLINK \l "_Toc491959434" </w:instrText>
      </w:r>
      <w:r>
        <w:fldChar w:fldCharType="separate"/>
      </w:r>
      <w:r>
        <w:rPr>
          <w:rStyle w:val="42"/>
          <w:rFonts w:hint="eastAsia" w:ascii="仿宋_GB2312"/>
          <w:sz w:val="28"/>
          <w:szCs w:val="28"/>
        </w:rPr>
        <w:t>附表</w:t>
      </w:r>
      <w:r>
        <w:rPr>
          <w:sz w:val="28"/>
          <w:szCs w:val="28"/>
        </w:rPr>
        <w:tab/>
      </w:r>
      <w:r>
        <w:rPr>
          <w:sz w:val="28"/>
          <w:szCs w:val="28"/>
        </w:rPr>
        <w:fldChar w:fldCharType="begin"/>
      </w:r>
      <w:r>
        <w:rPr>
          <w:sz w:val="28"/>
          <w:szCs w:val="28"/>
        </w:rPr>
        <w:instrText xml:space="preserve"> PAGEREF _Toc491959434 \h </w:instrText>
      </w:r>
      <w:r>
        <w:rPr>
          <w:sz w:val="28"/>
          <w:szCs w:val="28"/>
        </w:rPr>
        <w:fldChar w:fldCharType="separate"/>
      </w:r>
      <w:r>
        <w:rPr>
          <w:sz w:val="28"/>
          <w:szCs w:val="28"/>
        </w:rPr>
        <w:t>34</w:t>
      </w:r>
      <w:r>
        <w:rPr>
          <w:sz w:val="28"/>
          <w:szCs w:val="28"/>
        </w:rPr>
        <w:fldChar w:fldCharType="end"/>
      </w:r>
      <w:r>
        <w:rPr>
          <w:sz w:val="28"/>
          <w:szCs w:val="28"/>
        </w:rPr>
        <w:fldChar w:fldCharType="end"/>
      </w:r>
    </w:p>
    <w:p w14:paraId="5D746B1D">
      <w:pPr>
        <w:rPr>
          <w:rFonts w:ascii="仿宋_GB2312" w:eastAsia="仿宋_GB2312"/>
          <w:b/>
          <w:sz w:val="32"/>
          <w:szCs w:val="32"/>
        </w:rPr>
      </w:pPr>
      <w:r>
        <w:rPr>
          <w:rFonts w:hint="eastAsia" w:ascii="仿宋_GB2312" w:eastAsia="仿宋_GB2312"/>
          <w:b/>
          <w:sz w:val="28"/>
          <w:szCs w:val="28"/>
        </w:rPr>
        <w:fldChar w:fldCharType="end"/>
      </w:r>
    </w:p>
    <w:p w14:paraId="183050FA">
      <w:pPr>
        <w:rPr>
          <w:rFonts w:ascii="仿宋_GB2312" w:eastAsia="仿宋_GB2312"/>
          <w:b/>
          <w:sz w:val="32"/>
          <w:szCs w:val="32"/>
        </w:rPr>
        <w:sectPr>
          <w:footerReference r:id="rId4" w:type="default"/>
          <w:pgSz w:w="11906" w:h="16838"/>
          <w:pgMar w:top="1440" w:right="1800" w:bottom="1440" w:left="1800" w:header="851" w:footer="992" w:gutter="0"/>
          <w:pgNumType w:fmt="upperRoman" w:start="1"/>
          <w:cols w:space="425" w:num="1"/>
          <w:docGrid w:type="lines" w:linePitch="312" w:charSpace="0"/>
        </w:sectPr>
      </w:pPr>
    </w:p>
    <w:p w14:paraId="4D4C6987">
      <w:pPr>
        <w:spacing w:line="590" w:lineRule="exact"/>
        <w:ind w:firstLine="640" w:firstLineChars="200"/>
        <w:rPr>
          <w:rFonts w:ascii="仿宋_GB2312" w:eastAsia="仿宋_GB2312"/>
          <w:sz w:val="32"/>
          <w:szCs w:val="32"/>
        </w:rPr>
      </w:pPr>
      <w:r>
        <w:rPr>
          <w:rFonts w:hint="eastAsia" w:ascii="仿宋_GB2312" w:eastAsia="仿宋_GB2312"/>
          <w:sz w:val="32"/>
          <w:szCs w:val="32"/>
        </w:rPr>
        <w:t>为全面贯彻落实了国务院《水污染防治行动计划》（下称《水十条》）、《广东省水污染防治行动计划实施方案》和《阳江市水污染防治行动计划实施方案》，深入推进我区水污染防治工作，实施绿色发展，促进我区生态文明建设，制定本实施方案。</w:t>
      </w:r>
    </w:p>
    <w:p w14:paraId="3B2DF009">
      <w:pPr>
        <w:pStyle w:val="2"/>
        <w:rPr>
          <w:rFonts w:ascii="仿宋_GB2312" w:eastAsia="仿宋_GB2312"/>
        </w:rPr>
      </w:pPr>
      <w:bookmarkStart w:id="0" w:name="_Toc491959418"/>
      <w:r>
        <w:rPr>
          <w:rFonts w:hint="eastAsia" w:ascii="仿宋_GB2312" w:eastAsia="仿宋_GB2312"/>
        </w:rPr>
        <w:t>一、总体要求</w:t>
      </w:r>
      <w:bookmarkEnd w:id="0"/>
    </w:p>
    <w:p w14:paraId="56AFA2E1">
      <w:pPr>
        <w:pStyle w:val="3"/>
        <w:spacing w:before="156" w:after="156"/>
        <w:ind w:firstLine="710"/>
      </w:pPr>
      <w:bookmarkStart w:id="1" w:name="_Toc491959419"/>
      <w:r>
        <w:rPr>
          <w:rFonts w:hint="eastAsia"/>
        </w:rPr>
        <w:t>（一）指导思想。</w:t>
      </w:r>
      <w:bookmarkEnd w:id="1"/>
    </w:p>
    <w:p w14:paraId="29A91CC9">
      <w:pPr>
        <w:spacing w:line="590" w:lineRule="exact"/>
        <w:ind w:firstLine="640" w:firstLineChars="200"/>
        <w:rPr>
          <w:rFonts w:ascii="仿宋_GB2312" w:eastAsia="仿宋_GB2312"/>
          <w:sz w:val="32"/>
          <w:szCs w:val="32"/>
        </w:rPr>
      </w:pPr>
      <w:r>
        <w:rPr>
          <w:rFonts w:hint="eastAsia" w:ascii="仿宋_GB2312" w:eastAsia="仿宋_GB2312"/>
          <w:sz w:val="32"/>
          <w:szCs w:val="32"/>
        </w:rPr>
        <w:t>以邓小平理论和“三个代表”重要思想为指导，深入贯彻落实科学发展观，习近平总书记系列重要讲话和治国理政新思想、新理念、新战略，</w:t>
      </w:r>
      <w:bookmarkStart w:id="31" w:name="_GoBack"/>
      <w:bookmarkEnd w:id="31"/>
      <w:r>
        <w:rPr>
          <w:rFonts w:hint="eastAsia" w:ascii="仿宋_GB2312" w:eastAsia="仿宋_GB2312"/>
          <w:sz w:val="32"/>
          <w:szCs w:val="32"/>
          <w:lang w:eastAsia="zh-CN"/>
        </w:rPr>
        <w:t>党的十八大精神</w:t>
      </w:r>
      <w:r>
        <w:rPr>
          <w:rFonts w:hint="eastAsia" w:ascii="仿宋_GB2312" w:eastAsia="仿宋_GB2312"/>
          <w:sz w:val="32"/>
          <w:szCs w:val="32"/>
        </w:rPr>
        <w:t>，从民生环保、科学发展角度出发，以改善水环境质量为核心，全面贯彻落实《水十条》的各项要求，强化源头控制，水陆统筹、河海兼顾，坚持区域经济与环境协调发展，分区域、分阶段科学治理，系统推进饮用水源保护、环境基础设施建设、产业结构调整，统筹生态建设和污染治理，有保有治，防治结合。坚持政府市场协同，注重改革创新；坚持全面依法推进，实行最严格环保制度；坚持落实各方责任，严格考核问责；坚持全民参与，推动节水洁水人人有责，形成“政府统领、企业施治、市场驱动、公众参与”的水污染防治新机制，全面改善区域生态环境质量，切实保护水质安全，促进阳江区经济社会全面协调发展。</w:t>
      </w:r>
    </w:p>
    <w:p w14:paraId="07372C76">
      <w:pPr>
        <w:pStyle w:val="3"/>
        <w:spacing w:before="156" w:after="156"/>
        <w:ind w:firstLine="710"/>
      </w:pPr>
      <w:bookmarkStart w:id="2" w:name="_Toc491959420"/>
      <w:r>
        <w:rPr>
          <w:rFonts w:hint="eastAsia"/>
        </w:rPr>
        <w:t>（二）主要原则。</w:t>
      </w:r>
      <w:bookmarkEnd w:id="2"/>
    </w:p>
    <w:p w14:paraId="25D245D2">
      <w:pPr>
        <w:spacing w:line="590" w:lineRule="exact"/>
        <w:ind w:firstLine="640" w:firstLineChars="200"/>
        <w:rPr>
          <w:rFonts w:ascii="仿宋_GB2312" w:eastAsia="仿宋_GB2312"/>
          <w:sz w:val="32"/>
          <w:szCs w:val="32"/>
        </w:rPr>
      </w:pPr>
      <w:r>
        <w:rPr>
          <w:rFonts w:hint="eastAsia" w:ascii="仿宋_GB2312" w:hAnsi="Times New Roman" w:eastAsia="仿宋_GB2312"/>
          <w:kern w:val="0"/>
          <w:sz w:val="32"/>
          <w:szCs w:val="32"/>
        </w:rPr>
        <w:t>1．</w:t>
      </w:r>
      <w:r>
        <w:rPr>
          <w:rFonts w:hint="eastAsia" w:ascii="仿宋_GB2312" w:eastAsia="仿宋_GB2312"/>
          <w:sz w:val="32"/>
          <w:szCs w:val="32"/>
        </w:rPr>
        <w:t>优化布局，绿色发展。确定饮用水源、城市水体、近岸海域等水体质量改善目标和进度要求，坚持保护优先，强化水资源与水环境承载力的刚性约束，构筑生态控制红线，在此基础上积极响应市委市政府以海兴市、绿色发展，决胜全面小康、建设富美阳江，合理引导产业空间布局，构建区域生态安全格局，提升区域产业绿色发展水平，以环境保护优化经济增长，促进阳江高新区可持续发展。</w:t>
      </w:r>
    </w:p>
    <w:p w14:paraId="554EC634">
      <w:pPr>
        <w:ind w:firstLine="640" w:firstLineChars="200"/>
        <w:rPr>
          <w:rFonts w:ascii="仿宋_GB2312" w:eastAsia="仿宋_GB2312"/>
          <w:sz w:val="32"/>
          <w:szCs w:val="32"/>
        </w:rPr>
      </w:pPr>
      <w:r>
        <w:rPr>
          <w:rFonts w:hint="eastAsia" w:ascii="仿宋_GB2312" w:hAnsi="Times New Roman" w:eastAsia="仿宋_GB2312"/>
          <w:kern w:val="0"/>
          <w:sz w:val="32"/>
          <w:szCs w:val="32"/>
        </w:rPr>
        <w:t>2．</w:t>
      </w:r>
      <w:r>
        <w:rPr>
          <w:rFonts w:hint="eastAsia" w:ascii="仿宋_GB2312" w:eastAsia="仿宋_GB2312"/>
          <w:sz w:val="32"/>
          <w:szCs w:val="32"/>
        </w:rPr>
        <w:t>防治结合，治管并举。强调以点源、面源的源头控制和生态系统服务功能恢复与增强的预防性措施，以污染物末端治理为辅；细化整治目标任务和总体工作部署，推行水环境精细化管理，以水质达标倒逼整治任务，坚持系统思维，统筹水环境、水资源和水生态，多措并举；强调监督管理措施的重要性，以管理促治理，确保各项措施充分落实，保证实施效果。</w:t>
      </w:r>
    </w:p>
    <w:p w14:paraId="29A9041E">
      <w:pPr>
        <w:ind w:firstLine="640" w:firstLineChars="200"/>
        <w:rPr>
          <w:rFonts w:ascii="仿宋_GB2312" w:hAnsi="Times New Roman" w:eastAsia="仿宋_GB2312"/>
          <w:kern w:val="0"/>
          <w:sz w:val="32"/>
          <w:szCs w:val="32"/>
        </w:rPr>
      </w:pPr>
      <w:r>
        <w:rPr>
          <w:rFonts w:hint="eastAsia" w:ascii="仿宋_GB2312" w:hAnsi="Times New Roman" w:eastAsia="仿宋_GB2312"/>
          <w:kern w:val="0"/>
          <w:sz w:val="32"/>
          <w:szCs w:val="32"/>
        </w:rPr>
        <w:t>3．上下衔接、部门联动。与</w:t>
      </w:r>
      <w:r>
        <w:rPr>
          <w:rFonts w:hint="eastAsia" w:ascii="仿宋_GB2312" w:eastAsia="仿宋_GB2312"/>
          <w:sz w:val="32"/>
          <w:szCs w:val="32"/>
        </w:rPr>
        <w:t>国家、省、市</w:t>
      </w:r>
      <w:r>
        <w:rPr>
          <w:rFonts w:hint="eastAsia" w:ascii="仿宋_GB2312" w:hAnsi="Times New Roman" w:eastAsia="仿宋_GB2312"/>
          <w:kern w:val="0"/>
          <w:sz w:val="32"/>
          <w:szCs w:val="32"/>
        </w:rPr>
        <w:t>《水十条》紧密衔接</w:t>
      </w:r>
      <w:r>
        <w:rPr>
          <w:rFonts w:hint="eastAsia" w:ascii="仿宋_GB2312" w:eastAsia="仿宋_GB2312"/>
          <w:sz w:val="32"/>
          <w:szCs w:val="32"/>
        </w:rPr>
        <w:t>，综合考虑有关生态环境保护规划的任务要求，从地表水环境保护、地下水环境保护、海洋环境保护、水生态系统修复的角度，综合制定全方位多层次、具有兼顾性的工作方案；</w:t>
      </w:r>
      <w:r>
        <w:rPr>
          <w:rFonts w:hint="eastAsia" w:ascii="仿宋_GB2312" w:hAnsi="Times New Roman" w:eastAsia="仿宋_GB2312"/>
          <w:kern w:val="0"/>
          <w:sz w:val="32"/>
          <w:szCs w:val="32"/>
        </w:rPr>
        <w:t>建立环境共治、生态共保的水污染防治区域协调和综合整治机制，形成大统筹大协调工作格局；建立各有关部门联动机制，各司其职，密切配合，形成合力；严格落实“党政同责”、“一岗双责”。</w:t>
      </w:r>
    </w:p>
    <w:p w14:paraId="7C71527E">
      <w:pPr>
        <w:widowControl/>
        <w:ind w:firstLine="420"/>
        <w:rPr>
          <w:rFonts w:ascii="仿宋_GB2312" w:hAnsi="Times New Roman" w:eastAsia="仿宋_GB2312"/>
          <w:kern w:val="0"/>
          <w:sz w:val="32"/>
          <w:szCs w:val="32"/>
        </w:rPr>
      </w:pPr>
      <w:r>
        <w:rPr>
          <w:rFonts w:hint="eastAsia" w:ascii="仿宋_GB2312" w:hAnsi="Times New Roman" w:eastAsia="仿宋_GB2312"/>
          <w:kern w:val="0"/>
          <w:sz w:val="32"/>
          <w:szCs w:val="32"/>
        </w:rPr>
        <w:t>4．信息公开、公众参与。把公众参与作为编制工作方案和实施水污染防治工作的重要环节，以公众关心的环境问题为重点，广泛听取社会组织和公众的意见和建议，向社会公布工作方案编制和实施的进展情况，接受公众和社会监督，引导公众自觉参与水污染防治行动。</w:t>
      </w:r>
    </w:p>
    <w:p w14:paraId="782C4E97">
      <w:pPr>
        <w:pStyle w:val="3"/>
        <w:spacing w:before="156" w:after="156"/>
        <w:ind w:firstLine="710"/>
      </w:pPr>
      <w:bookmarkStart w:id="3" w:name="_Toc491959421"/>
      <w:r>
        <w:rPr>
          <w:rFonts w:hint="eastAsia"/>
        </w:rPr>
        <w:t>（三）工作目标。</w:t>
      </w:r>
      <w:bookmarkEnd w:id="3"/>
    </w:p>
    <w:p w14:paraId="6D094A45">
      <w:pPr>
        <w:spacing w:line="590" w:lineRule="exact"/>
        <w:ind w:firstLine="640" w:firstLineChars="200"/>
        <w:rPr>
          <w:rFonts w:ascii="仿宋_GB2312" w:hAnsi="Times New Roman" w:eastAsia="仿宋_GB2312"/>
          <w:kern w:val="0"/>
          <w:sz w:val="32"/>
          <w:szCs w:val="32"/>
        </w:rPr>
      </w:pPr>
      <w:r>
        <w:rPr>
          <w:rFonts w:hint="eastAsia" w:ascii="仿宋_GB2312" w:eastAsia="仿宋_GB2312"/>
          <w:sz w:val="32"/>
          <w:szCs w:val="32"/>
        </w:rPr>
        <w:t>到2020年，全区水环境质量明显改善，饮用水安全保障水平持续提升，地下水质量维持稳定，近岸海域环境质量稳中趋好，河流以及近岸海域水生态修复显现成效。到2030年，水环境质量总体改善，水生态系统功能初步恢复。到本世纪中叶，水环境质量全面改善，生态系统实现良性循环，</w:t>
      </w:r>
      <w:r>
        <w:rPr>
          <w:rFonts w:hint="eastAsia" w:ascii="仿宋_GB2312" w:hAnsi="Times New Roman" w:eastAsia="仿宋_GB2312"/>
          <w:kern w:val="0"/>
          <w:sz w:val="32"/>
          <w:szCs w:val="32"/>
        </w:rPr>
        <w:t>经济繁荣、水体清澈、生态平衡、人水和谐新格局初步形成，</w:t>
      </w:r>
      <w:r>
        <w:rPr>
          <w:rFonts w:hint="eastAsia" w:ascii="仿宋_GB2312" w:eastAsia="仿宋_GB2312"/>
          <w:sz w:val="32"/>
          <w:szCs w:val="32"/>
        </w:rPr>
        <w:t>为全市人民安居乐业提供安全优质的供水保障和良好的水生态环境。</w:t>
      </w:r>
    </w:p>
    <w:p w14:paraId="2AA96855">
      <w:pPr>
        <w:pStyle w:val="3"/>
        <w:spacing w:before="156" w:after="156"/>
        <w:ind w:firstLine="710"/>
      </w:pPr>
      <w:bookmarkStart w:id="4" w:name="_Toc491959422"/>
      <w:r>
        <w:rPr>
          <w:rFonts w:hint="eastAsia"/>
        </w:rPr>
        <w:t>（四）主要指标。</w:t>
      </w:r>
      <w:bookmarkEnd w:id="4"/>
    </w:p>
    <w:p w14:paraId="07442B73">
      <w:pPr>
        <w:ind w:firstLine="640" w:firstLineChars="200"/>
        <w:rPr>
          <w:rFonts w:ascii="仿宋_GB2312" w:eastAsia="仿宋_GB2312"/>
          <w:sz w:val="32"/>
          <w:szCs w:val="32"/>
        </w:rPr>
      </w:pPr>
      <w:r>
        <w:rPr>
          <w:rFonts w:hint="eastAsia" w:ascii="仿宋_GB2312" w:eastAsia="仿宋_GB2312"/>
          <w:sz w:val="32"/>
          <w:szCs w:val="32"/>
        </w:rPr>
        <w:t>到2020年，农村饮用水水源水质安全基本得到保障；全区地表水水质优良（达到或优于III类）比例达到100%；对于划定地表水环境功能区划的水体断面，基本消除劣V类；全区建成区黑臭水体均控制在10%以内；地下水质量维持稳定，极差的比例控制在10%以内；近岸海域水质维持稳定，水质优良（一、二类）比例保持70%以上。</w:t>
      </w:r>
    </w:p>
    <w:p w14:paraId="40148455">
      <w:pPr>
        <w:ind w:firstLine="640" w:firstLineChars="200"/>
        <w:rPr>
          <w:rFonts w:ascii="仿宋_GB2312" w:eastAsia="仿宋_GB2312"/>
          <w:sz w:val="32"/>
          <w:szCs w:val="32"/>
        </w:rPr>
      </w:pPr>
      <w:r>
        <w:rPr>
          <w:rFonts w:hint="eastAsia" w:ascii="仿宋_GB2312" w:eastAsia="仿宋_GB2312"/>
          <w:sz w:val="32"/>
          <w:szCs w:val="32"/>
        </w:rPr>
        <w:t>到2030年，全区地表水水质优良（达到或优于III类）比例进一步提升，城市建成区黑臭水体总体得到消除；农村饮用水水源水质得到保障。</w:t>
      </w:r>
    </w:p>
    <w:p w14:paraId="262910F0">
      <w:pPr>
        <w:pStyle w:val="2"/>
        <w:rPr>
          <w:rFonts w:ascii="仿宋_GB2312" w:eastAsia="仿宋_GB2312"/>
        </w:rPr>
      </w:pPr>
      <w:bookmarkStart w:id="5" w:name="_Toc491959423"/>
      <w:r>
        <w:rPr>
          <w:rFonts w:hint="eastAsia" w:ascii="仿宋_GB2312" w:eastAsia="仿宋_GB2312"/>
        </w:rPr>
        <w:t>二、主要防治任务</w:t>
      </w:r>
      <w:bookmarkEnd w:id="5"/>
    </w:p>
    <w:p w14:paraId="6849FFFC">
      <w:pPr>
        <w:pStyle w:val="3"/>
        <w:spacing w:before="156" w:after="156"/>
        <w:ind w:firstLine="710"/>
      </w:pPr>
      <w:bookmarkStart w:id="6" w:name="_Toc491959424"/>
      <w:r>
        <w:rPr>
          <w:rFonts w:hint="eastAsia"/>
        </w:rPr>
        <w:t>（一）全面控制污染物排放</w:t>
      </w:r>
      <w:bookmarkEnd w:id="6"/>
    </w:p>
    <w:p w14:paraId="19E063F3">
      <w:pPr>
        <w:spacing w:line="590" w:lineRule="exact"/>
        <w:ind w:firstLine="640" w:firstLineChars="200"/>
        <w:rPr>
          <w:rFonts w:ascii="仿宋_GB2312" w:eastAsia="仿宋_GB2312"/>
          <w:sz w:val="32"/>
          <w:szCs w:val="32"/>
        </w:rPr>
      </w:pPr>
      <w:r>
        <w:rPr>
          <w:rFonts w:hint="eastAsia" w:ascii="仿宋_GB2312" w:eastAsia="仿宋_GB2312"/>
          <w:sz w:val="32"/>
          <w:szCs w:val="32"/>
        </w:rPr>
        <w:t>1．狠抓工业污染防治。</w:t>
      </w:r>
    </w:p>
    <w:p w14:paraId="39DFF1ED">
      <w:pPr>
        <w:spacing w:line="590" w:lineRule="exact"/>
        <w:ind w:firstLine="640" w:firstLineChars="200"/>
        <w:rPr>
          <w:rFonts w:ascii="仿宋_GB2312" w:eastAsia="仿宋_GB2312"/>
          <w:sz w:val="32"/>
          <w:szCs w:val="32"/>
        </w:rPr>
      </w:pPr>
      <w:r>
        <w:rPr>
          <w:rFonts w:hint="eastAsia" w:ascii="仿宋_GB2312" w:eastAsia="仿宋_GB2312"/>
          <w:sz w:val="32"/>
          <w:szCs w:val="32"/>
        </w:rPr>
        <w:t>清理取缔“十小”企业，全面排查手续不健全、装备水平低、环保设施差的小型造纸、制革、印染、染料、炼焦、炼硫、炼砷、炼油、电镀、农药等严重污染水环境的工业企业；2016年底前，依法取缔全部不符合国家或地方产业政策的“十小”生产项目，并建立长效机制防止“回潮”。（市环保局</w:t>
      </w:r>
      <w:r>
        <w:rPr>
          <w:rFonts w:hint="eastAsia" w:ascii="仿宋_GB2312" w:hAnsi="Arial" w:eastAsia="仿宋_GB2312" w:cs="Arial"/>
          <w:kern w:val="0"/>
          <w:sz w:val="32"/>
          <w:szCs w:val="32"/>
        </w:rPr>
        <w:t>高新分局</w:t>
      </w:r>
      <w:r>
        <w:rPr>
          <w:rFonts w:hint="eastAsia" w:ascii="仿宋_GB2312" w:eastAsia="仿宋_GB2312"/>
          <w:sz w:val="32"/>
          <w:szCs w:val="32"/>
        </w:rPr>
        <w:t>牵头落实，区经发局、市国土资源局</w:t>
      </w:r>
      <w:r>
        <w:rPr>
          <w:rFonts w:hint="eastAsia" w:ascii="仿宋_GB2312" w:hAnsi="仿宋_GB2312" w:eastAsia="仿宋_GB2312" w:cs="仿宋_GB2312"/>
          <w:sz w:val="32"/>
          <w:szCs w:val="32"/>
        </w:rPr>
        <w:t>高新区分局、区综合行政执法局</w:t>
      </w:r>
      <w:r>
        <w:rPr>
          <w:rFonts w:hint="eastAsia" w:ascii="仿宋_GB2312" w:eastAsia="仿宋_GB2312"/>
          <w:sz w:val="32"/>
          <w:szCs w:val="32"/>
        </w:rPr>
        <w:t>等参与）</w:t>
      </w:r>
    </w:p>
    <w:p w14:paraId="1AB72F4F">
      <w:pPr>
        <w:spacing w:line="590" w:lineRule="exact"/>
        <w:ind w:firstLine="640" w:firstLineChars="200"/>
        <w:rPr>
          <w:rFonts w:ascii="仿宋_GB2312" w:eastAsia="仿宋_GB2312"/>
          <w:sz w:val="32"/>
          <w:szCs w:val="32"/>
        </w:rPr>
      </w:pPr>
      <w:r>
        <w:rPr>
          <w:rFonts w:hint="eastAsia" w:ascii="仿宋_GB2312" w:eastAsia="仿宋_GB2312"/>
          <w:sz w:val="32"/>
          <w:szCs w:val="32"/>
        </w:rPr>
        <w:t>专项整治重点污染行业。2016年底前，制定制革、电镀、制浆造纸、有色金属、纺织印染、农副食品加工、农药等行业专项治理方案，明确治理目标、任务和期限。新建、改建、扩建上述行业建设项目实行主要污染物排放等量或减量置换。（市环保局</w:t>
      </w:r>
      <w:r>
        <w:rPr>
          <w:rFonts w:hint="eastAsia" w:ascii="仿宋_GB2312" w:hAnsi="Arial" w:eastAsia="仿宋_GB2312" w:cs="Arial"/>
          <w:kern w:val="0"/>
          <w:sz w:val="32"/>
          <w:szCs w:val="32"/>
        </w:rPr>
        <w:t>高新分局</w:t>
      </w:r>
      <w:r>
        <w:rPr>
          <w:rFonts w:hint="eastAsia" w:ascii="仿宋_GB2312" w:eastAsia="仿宋_GB2312"/>
          <w:sz w:val="32"/>
          <w:szCs w:val="32"/>
        </w:rPr>
        <w:t>牵头，区经发局、</w:t>
      </w:r>
      <w:r>
        <w:rPr>
          <w:rFonts w:hint="eastAsia" w:ascii="仿宋_GB2312" w:hAnsi="仿宋_GB2312" w:eastAsia="仿宋_GB2312" w:cs="仿宋_GB2312"/>
          <w:sz w:val="32"/>
          <w:szCs w:val="32"/>
        </w:rPr>
        <w:t>区综合行政执法局</w:t>
      </w:r>
      <w:r>
        <w:rPr>
          <w:rFonts w:hint="eastAsia" w:ascii="仿宋_GB2312" w:eastAsia="仿宋_GB2312"/>
          <w:sz w:val="32"/>
          <w:szCs w:val="32"/>
        </w:rPr>
        <w:t>参与）</w:t>
      </w:r>
    </w:p>
    <w:p w14:paraId="080A9004">
      <w:pPr>
        <w:spacing w:line="590" w:lineRule="exact"/>
        <w:ind w:firstLine="640" w:firstLineChars="200"/>
        <w:rPr>
          <w:rFonts w:ascii="仿宋_GB2312" w:eastAsia="仿宋_GB2312"/>
          <w:sz w:val="32"/>
          <w:szCs w:val="32"/>
        </w:rPr>
      </w:pPr>
      <w:r>
        <w:rPr>
          <w:rFonts w:hint="eastAsia" w:ascii="仿宋_GB2312" w:eastAsia="仿宋_GB2312"/>
          <w:sz w:val="32"/>
          <w:szCs w:val="32"/>
        </w:rPr>
        <w:t>实施制浆造纸、制革、纺织印染、电镀、农药、钢铁、有色金属、农副食品加工等行业清洁化改造。2017年底前，造纸行业力争完成纸浆无元素氯漂白改造或采取其他低污染制浆技术，钢铁企业焦炉完成干熄焦技术改造，氮肥行业尿素生产完成工艺冷凝液水解解析技术改造，印染行业实施低排水染整工艺改造，制药（抗生素、维生素）行业实施绿色酶法生产技术改造，制革行业实施铬减量化和封闭循环利用技术改造。适当收严流域内制浆造纸、电镀、钢铁、食品等重点行业污染物排放标准。（区经发局牵头，市环保局</w:t>
      </w:r>
      <w:r>
        <w:rPr>
          <w:rFonts w:hint="eastAsia" w:ascii="仿宋_GB2312" w:hAnsi="Arial" w:eastAsia="仿宋_GB2312" w:cs="Arial"/>
          <w:kern w:val="0"/>
          <w:sz w:val="32"/>
          <w:szCs w:val="32"/>
        </w:rPr>
        <w:t>高新分局、</w:t>
      </w:r>
      <w:r>
        <w:rPr>
          <w:rFonts w:hint="eastAsia" w:ascii="仿宋_GB2312" w:hAnsi="仿宋_GB2312" w:eastAsia="仿宋_GB2312" w:cs="仿宋_GB2312"/>
          <w:sz w:val="32"/>
          <w:szCs w:val="32"/>
        </w:rPr>
        <w:t>区综合行政执法局</w:t>
      </w:r>
      <w:r>
        <w:rPr>
          <w:rFonts w:hint="eastAsia" w:ascii="仿宋_GB2312" w:eastAsia="仿宋_GB2312"/>
          <w:sz w:val="32"/>
          <w:szCs w:val="32"/>
        </w:rPr>
        <w:t>等参与）</w:t>
      </w:r>
    </w:p>
    <w:p w14:paraId="21DBDB19">
      <w:pPr>
        <w:spacing w:line="590" w:lineRule="exact"/>
        <w:ind w:firstLine="640" w:firstLineChars="200"/>
        <w:rPr>
          <w:rFonts w:ascii="仿宋_GB2312" w:eastAsia="仿宋_GB2312"/>
          <w:sz w:val="32"/>
          <w:szCs w:val="32"/>
        </w:rPr>
      </w:pPr>
      <w:r>
        <w:rPr>
          <w:rFonts w:hint="eastAsia" w:ascii="仿宋_GB2312" w:eastAsia="仿宋_GB2312"/>
          <w:sz w:val="32"/>
          <w:szCs w:val="32"/>
        </w:rPr>
        <w:t>强化工业集聚区水污染治理。2016年3月底前，要对珠海（阳江）产业转移园（高新区范围内）的环保基础设施进行排查，明确各企业废水预处理、集聚区内污水与垃圾集中处理、在线监测系统等设施是否达到要求，对不符合要求的集聚区要列出清单提出限期整改计划。新建、升级工业集聚区应同步规划、建设污水、垃圾集中处理等污染治理设施。2017年底前，所有工业集聚区应按规定建成污水集中处理设施，并安装自动在线监控装置，与环保部门联网；逾期未完成的，一律暂停审批和核准其增加水污染物排放的建设项目，并依照有关规定撤销其园区资格。（根据水十条、广东水十条和阳江市水污染防治工作方案，该项考核内容明确）（市环保局</w:t>
      </w:r>
      <w:r>
        <w:rPr>
          <w:rFonts w:hint="eastAsia" w:ascii="仿宋_GB2312" w:hAnsi="Arial" w:eastAsia="仿宋_GB2312" w:cs="Arial"/>
          <w:kern w:val="0"/>
          <w:sz w:val="32"/>
          <w:szCs w:val="32"/>
        </w:rPr>
        <w:t>高新分局</w:t>
      </w:r>
      <w:r>
        <w:rPr>
          <w:rFonts w:hint="eastAsia" w:ascii="仿宋_GB2312" w:eastAsia="仿宋_GB2312"/>
          <w:sz w:val="32"/>
          <w:szCs w:val="32"/>
        </w:rPr>
        <w:t>牵头，区经发局、</w:t>
      </w:r>
      <w:r>
        <w:rPr>
          <w:rFonts w:hint="eastAsia" w:ascii="仿宋_GB2312" w:hAnsi="仿宋_GB2312" w:eastAsia="仿宋_GB2312" w:cs="仿宋_GB2312"/>
          <w:sz w:val="32"/>
          <w:szCs w:val="32"/>
        </w:rPr>
        <w:t>区综合行政执法局</w:t>
      </w:r>
      <w:r>
        <w:rPr>
          <w:rFonts w:hint="eastAsia" w:ascii="仿宋_GB2312" w:eastAsia="仿宋_GB2312"/>
          <w:sz w:val="32"/>
          <w:szCs w:val="32"/>
        </w:rPr>
        <w:t>参与）</w:t>
      </w:r>
    </w:p>
    <w:p w14:paraId="62FE498B">
      <w:pPr>
        <w:widowControl/>
        <w:shd w:val="clear" w:color="auto" w:fill="FFFFFF"/>
        <w:ind w:firstLine="600"/>
        <w:rPr>
          <w:rFonts w:ascii="仿宋_GB2312" w:eastAsia="仿宋_GB2312"/>
          <w:sz w:val="32"/>
          <w:szCs w:val="32"/>
        </w:rPr>
      </w:pPr>
      <w:r>
        <w:rPr>
          <w:rFonts w:hint="eastAsia" w:ascii="仿宋_GB2312" w:eastAsia="仿宋_GB2312"/>
          <w:sz w:val="32"/>
          <w:szCs w:val="32"/>
        </w:rPr>
        <w:t>2．加快城镇污水处理设施建设与改造。现有城镇污水处理设施要因地制宜进行改造，及时新建或已有污水处理厂扩建。新、扩和改建城镇污水处理设施出水应符合《城镇污水处理厂污染物排放标准（GB18918-2002）一级A标准及广东省地方标准《水污染物排放限值》（DB44/16-2001）的较严</w:t>
      </w:r>
      <w:r>
        <w:rPr>
          <w:rFonts w:hint="eastAsia" w:ascii="仿宋_GB2312" w:hAnsi="Arial" w:eastAsia="仿宋_GB2312" w:cs="Arial"/>
          <w:kern w:val="0"/>
          <w:sz w:val="32"/>
          <w:szCs w:val="32"/>
        </w:rPr>
        <w:t>值。2017年底前，重点推进平冈镇生活污水处理设施建设。到2020年，阳江高新区范围新增污水处理能力量1.5万吨/日，城镇生活污水集中处理率达90%以上。（根据阳江市水污染防治工作方案的考核任务，平冈镇生活污水处理厂需2017年底完成并投入运营，且省水十条要求对城镇生活污水集中处理率要求为90%以上。）（区规划建设和交通局</w:t>
      </w:r>
      <w:r>
        <w:rPr>
          <w:rFonts w:hint="eastAsia" w:ascii="仿宋_GB2312" w:eastAsia="仿宋_GB2312"/>
          <w:sz w:val="32"/>
          <w:szCs w:val="32"/>
        </w:rPr>
        <w:t>牵头，区经发局、市环保局</w:t>
      </w:r>
      <w:r>
        <w:rPr>
          <w:rFonts w:hint="eastAsia" w:ascii="仿宋_GB2312" w:hAnsi="Arial" w:eastAsia="仿宋_GB2312" w:cs="Arial"/>
          <w:kern w:val="0"/>
          <w:sz w:val="32"/>
          <w:szCs w:val="32"/>
        </w:rPr>
        <w:t>新分局</w:t>
      </w:r>
      <w:r>
        <w:rPr>
          <w:rFonts w:hint="eastAsia" w:ascii="仿宋_GB2312" w:eastAsia="仿宋_GB2312"/>
          <w:sz w:val="32"/>
          <w:szCs w:val="32"/>
        </w:rPr>
        <w:t>等参与）</w:t>
      </w:r>
    </w:p>
    <w:p w14:paraId="6FF7A315">
      <w:pPr>
        <w:widowControl/>
        <w:shd w:val="clear" w:color="auto" w:fill="FFFFFF"/>
        <w:ind w:firstLine="585"/>
        <w:rPr>
          <w:rFonts w:ascii="仿宋_GB2312" w:eastAsia="仿宋_GB2312"/>
          <w:sz w:val="32"/>
          <w:szCs w:val="32"/>
        </w:rPr>
      </w:pPr>
      <w:r>
        <w:rPr>
          <w:rFonts w:hint="eastAsia" w:ascii="仿宋_GB2312" w:eastAsia="仿宋_GB2312"/>
          <w:sz w:val="32"/>
          <w:szCs w:val="32"/>
        </w:rPr>
        <w:t>全面加强配套管网建设。优先完善现有污水处理设施配套管网，按照“厂管配套”原则，切实提高污水处理厂运行负荷。重点提高中心镇、重点镇、重点流域、环境敏感区周边镇和产业转移园的污水收集能力，截污管网建设和污水处理厂同步进行，城镇新建区排水体制采用雨、污水分流制，积极推进雨污分流系统改造。完善老城区截流合流制排水体制，已形成合流制管道城镇地区，改造成为截流式合流制；未形成完善的管网的规划分流制城镇地区，近期保留现有合流制管道，并改造成为截留式合流制，远期结合城市道路改造，逐步过渡改造为分流制。完成平冈镇区雨污分流管网改造工程及新建配套污水管网主干管4公里。2017年底前，高新区建成区污水基本实现全收集、全处理，中心镇、区内主要河流沿河镇建成区于2020年底前基本实现。到2020年，区及中心镇、漠阳江干流及其重要一级支流沿河镇污水收集率达到90%以上。（</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牵头，区经发局、市环保局</w:t>
      </w:r>
      <w:r>
        <w:rPr>
          <w:rFonts w:hint="eastAsia" w:ascii="仿宋_GB2312" w:hAnsi="Arial" w:eastAsia="仿宋_GB2312" w:cs="Arial"/>
          <w:kern w:val="0"/>
          <w:sz w:val="32"/>
          <w:szCs w:val="32"/>
        </w:rPr>
        <w:t>新分局</w:t>
      </w:r>
      <w:r>
        <w:rPr>
          <w:rFonts w:hint="eastAsia" w:ascii="仿宋_GB2312" w:eastAsia="仿宋_GB2312"/>
          <w:sz w:val="32"/>
          <w:szCs w:val="32"/>
        </w:rPr>
        <w:t>等参与）</w:t>
      </w:r>
    </w:p>
    <w:p w14:paraId="166BECF2">
      <w:pPr>
        <w:spacing w:line="590" w:lineRule="exact"/>
        <w:ind w:firstLine="640" w:firstLineChars="200"/>
        <w:rPr>
          <w:rFonts w:ascii="仿宋_GB2312" w:eastAsia="仿宋_GB2312"/>
          <w:sz w:val="32"/>
          <w:szCs w:val="32"/>
          <w:highlight w:val="red"/>
        </w:rPr>
      </w:pPr>
      <w:r>
        <w:rPr>
          <w:rFonts w:hint="eastAsia" w:ascii="仿宋_GB2312" w:eastAsia="仿宋_GB2312"/>
          <w:sz w:val="32"/>
          <w:szCs w:val="32"/>
        </w:rPr>
        <w:t>切实推进污泥无害化处置。污水处理设施产生的污泥应进行稳定化、无害化和资源化处理处置，禁止处理处置不达标的污泥进入耕地。2016年6月底前，全面排查非法污泥堆放点，列出清单一律予以取缔。全区城市污泥无害化处理处置率应于2020年底前达到90%以上。（</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牵头，区经发局、市环保局高新分局、</w:t>
      </w:r>
      <w:r>
        <w:rPr>
          <w:rFonts w:hint="eastAsia" w:ascii="仿宋_GB2312" w:hAnsi="仿宋_GB2312" w:eastAsia="仿宋_GB2312" w:cs="仿宋_GB2312"/>
          <w:sz w:val="32"/>
          <w:szCs w:val="32"/>
        </w:rPr>
        <w:t>区农村事务局、区综合行政执法局</w:t>
      </w:r>
      <w:r>
        <w:rPr>
          <w:rFonts w:hint="eastAsia" w:ascii="仿宋_GB2312" w:eastAsia="仿宋_GB2312"/>
          <w:sz w:val="32"/>
          <w:szCs w:val="32"/>
        </w:rPr>
        <w:t>等参与）</w:t>
      </w:r>
    </w:p>
    <w:p w14:paraId="150DB8D6">
      <w:pPr>
        <w:ind w:firstLine="640" w:firstLineChars="200"/>
        <w:rPr>
          <w:rFonts w:ascii="仿宋_GB2312" w:eastAsia="仿宋_GB2312"/>
          <w:sz w:val="32"/>
          <w:szCs w:val="32"/>
        </w:rPr>
      </w:pPr>
      <w:r>
        <w:rPr>
          <w:rFonts w:hint="eastAsia" w:ascii="仿宋_GB2312" w:hAnsi="楷体_GB2312" w:eastAsia="仿宋_GB2312" w:cs="楷体_GB2312"/>
          <w:sz w:val="32"/>
        </w:rPr>
        <w:t>3.</w:t>
      </w:r>
      <w:r>
        <w:rPr>
          <w:rFonts w:hint="eastAsia" w:ascii="仿宋_GB2312" w:eastAsia="仿宋_GB2312"/>
          <w:sz w:val="32"/>
          <w:szCs w:val="32"/>
        </w:rPr>
        <w:t>推进农业农村污染防治。防治畜禽养殖污染。科学划定畜禽养殖禁养区，制定禁养区、限养区内畜禽养殖业清理整治方案。建立长效机制，禁止和限制在禁养区、限养区内进行非法养殖。2016年底前，已完成2017年底前依法关闭或搬迁禁养区内10家畜禽养殖场（小区）和养殖专业户的任务。现有规模化畜禽养殖场（小区）要配套建设粪便污水贮存、处理与利用设施，散养密集区要引导养殖户自行做好粪污收集和处理利用。自2017年起，新建、改建、扩建规模化畜禽养殖场（小区）要实施雨污分流、粪便污水资源化利用。（</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牵头，市环保局高新分局、</w:t>
      </w:r>
      <w:r>
        <w:rPr>
          <w:rFonts w:hint="eastAsia" w:ascii="仿宋_GB2312" w:hAnsi="仿宋_GB2312" w:eastAsia="仿宋_GB2312" w:cs="仿宋_GB2312"/>
          <w:sz w:val="32"/>
          <w:szCs w:val="32"/>
        </w:rPr>
        <w:t>区综合行政执法局</w:t>
      </w:r>
      <w:r>
        <w:rPr>
          <w:rFonts w:hint="eastAsia" w:ascii="仿宋_GB2312" w:eastAsia="仿宋_GB2312"/>
          <w:sz w:val="32"/>
          <w:szCs w:val="32"/>
        </w:rPr>
        <w:t>等参与）</w:t>
      </w:r>
    </w:p>
    <w:p w14:paraId="5C0ABF77">
      <w:pPr>
        <w:ind w:firstLine="640" w:firstLineChars="200"/>
        <w:rPr>
          <w:rFonts w:ascii="仿宋_GB2312" w:eastAsia="仿宋_GB2312"/>
          <w:sz w:val="32"/>
          <w:szCs w:val="32"/>
        </w:rPr>
      </w:pPr>
      <w:r>
        <w:rPr>
          <w:rFonts w:hint="eastAsia" w:ascii="仿宋_GB2312" w:eastAsia="仿宋_GB2312"/>
          <w:sz w:val="32"/>
          <w:szCs w:val="32"/>
        </w:rPr>
        <w:t>控制农业面源污染。2017年6月底前，制定实施农业面源污染综合防治方案。推广低毒、低残留农药使用补助试点经验，开展农作物病虫害绿色防控和统防统治。实行测土配方施肥，推广精准施肥技术和机具。重要水库汇水区、供水通道沿岸等敏感区域要建设生态沟渠、污水净化塘、地表径流集蓄池等设施，净化农田排水及地表</w:t>
      </w:r>
      <w:r>
        <w:rPr>
          <w:rFonts w:hint="eastAsia" w:ascii="宋体" w:hAnsi="宋体"/>
          <w:sz w:val="32"/>
          <w:szCs w:val="32"/>
        </w:rPr>
        <w:t>径</w:t>
      </w:r>
      <w:r>
        <w:rPr>
          <w:rFonts w:hint="eastAsia" w:ascii="仿宋_GB2312" w:eastAsia="仿宋_GB2312"/>
          <w:sz w:val="32"/>
          <w:szCs w:val="32"/>
        </w:rPr>
        <w:t>流。到2020年，测土配方施肥技术推广覆盖率达到90%以上，化肥利用率提高到40%以上，农作物病虫害统防统治覆盖率达到40%以上。（</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牵头，区经发改局、区经发局、市国土资源局</w:t>
      </w:r>
      <w:r>
        <w:rPr>
          <w:rFonts w:hint="eastAsia" w:ascii="仿宋_GB2312" w:hAnsi="仿宋_GB2312" w:eastAsia="仿宋_GB2312" w:cs="仿宋_GB2312"/>
          <w:sz w:val="32"/>
          <w:szCs w:val="32"/>
        </w:rPr>
        <w:t>高新区分局</w:t>
      </w:r>
      <w:r>
        <w:rPr>
          <w:rFonts w:hint="eastAsia" w:ascii="仿宋_GB2312" w:eastAsia="仿宋_GB2312"/>
          <w:sz w:val="32"/>
          <w:szCs w:val="32"/>
        </w:rPr>
        <w:t>、市环保局</w:t>
      </w:r>
      <w:r>
        <w:rPr>
          <w:rFonts w:hint="eastAsia" w:ascii="仿宋_GB2312" w:hAnsi="仿宋_GB2312" w:eastAsia="仿宋_GB2312" w:cs="仿宋_GB2312"/>
          <w:sz w:val="32"/>
          <w:szCs w:val="32"/>
        </w:rPr>
        <w:t>高新分局</w:t>
      </w:r>
      <w:r>
        <w:rPr>
          <w:rFonts w:hint="eastAsia" w:ascii="仿宋_GB2312" w:eastAsia="仿宋_GB2312"/>
          <w:sz w:val="32"/>
          <w:szCs w:val="32"/>
        </w:rPr>
        <w:t>等参与）</w:t>
      </w:r>
    </w:p>
    <w:p w14:paraId="1EDBDF4E">
      <w:pPr>
        <w:ind w:firstLine="640" w:firstLineChars="200"/>
        <w:rPr>
          <w:rFonts w:ascii="仿宋_GB2312" w:eastAsia="仿宋_GB2312"/>
          <w:sz w:val="32"/>
          <w:szCs w:val="32"/>
        </w:rPr>
      </w:pPr>
      <w:r>
        <w:rPr>
          <w:rFonts w:hint="eastAsia" w:ascii="仿宋_GB2312" w:eastAsia="仿宋_GB2312"/>
          <w:sz w:val="32"/>
          <w:szCs w:val="32"/>
        </w:rPr>
        <w:t>调整种植业结构与布局。建立科学种植制度和生态农业体系，推广与种植业、养殖业和加工业紧密结合的生态农业模式，制定政策鼓励使用人畜粪便等有机肥，减少化肥、农药和类激素等化学物质的使用量，推进农业清洁生产，实现农业生产生活物质的循环利用，推动粗放农业向生态农业转变。（</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牵头，区经发局、市国土资源局</w:t>
      </w:r>
      <w:r>
        <w:rPr>
          <w:rFonts w:hint="eastAsia" w:ascii="仿宋_GB2312" w:hAnsi="仿宋_GB2312" w:eastAsia="仿宋_GB2312" w:cs="仿宋_GB2312"/>
          <w:sz w:val="32"/>
          <w:szCs w:val="32"/>
        </w:rPr>
        <w:t>高新区分局</w:t>
      </w:r>
      <w:r>
        <w:rPr>
          <w:rFonts w:hint="eastAsia" w:ascii="仿宋_GB2312" w:eastAsia="仿宋_GB2312"/>
          <w:sz w:val="32"/>
          <w:szCs w:val="32"/>
        </w:rPr>
        <w:t>等参与）</w:t>
      </w:r>
    </w:p>
    <w:p w14:paraId="668AB53F">
      <w:pPr>
        <w:spacing w:line="360" w:lineRule="auto"/>
        <w:ind w:firstLine="640"/>
        <w:rPr>
          <w:rFonts w:ascii="仿宋_GB2312" w:eastAsia="仿宋_GB2312"/>
          <w:sz w:val="32"/>
          <w:szCs w:val="32"/>
        </w:rPr>
      </w:pPr>
      <w:r>
        <w:rPr>
          <w:rFonts w:hint="eastAsia" w:ascii="仿宋_GB2312" w:eastAsia="仿宋_GB2312"/>
          <w:sz w:val="32"/>
          <w:szCs w:val="32"/>
        </w:rPr>
        <w:t>加快农村环境综合整治。推进《阳江市美丽乡村建设工作方案》的实施，依据各村自然资源禀赋、经济社会发展水平、产业发展特点以及民俗文化传承差异等，选择生态保护型、文化传承型、渔业开发型、休闲旅游型和特色农业型等不同创建模式进行美丽乡村建设，实现“农村经济加快发展、人居环境明显改善、农村生活持续改善、农村社会和谐稳定”的建设目标。强化农村饮用水水源地保护，在完成乡镇集中式饮用水源保护区划定的基础上，进一步完善饮用水源保护区的规范化建设。整治农村生活污水乱排放现象，规范合理布局农村排水系统管网，加快建设农村生活污水处理设施。采取“就地消纳为主，集中处理为辅”的处理策略，大力推进农村生活垃圾收集和处理，进一步完善“一镇一站、一村一点”配套设施。以自然村为单元，坚持全面治理与重点改造并重，开展村庄环境整治大行动，到2020年，全区共创建22个美丽乡村。（</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、市环保局高新分局等参与）</w:t>
      </w:r>
    </w:p>
    <w:p w14:paraId="0B63E3B2">
      <w:pPr>
        <w:pStyle w:val="44"/>
        <w:ind w:firstLine="420"/>
        <w:rPr>
          <w:rFonts w:ascii="仿宋_GB2312" w:hAnsi="Calibri" w:eastAsia="仿宋_GB2312"/>
          <w:kern w:val="2"/>
          <w:highlight w:val="red"/>
        </w:rPr>
      </w:pPr>
      <w:r>
        <w:rPr>
          <w:rFonts w:hint="eastAsia" w:ascii="仿宋_GB2312" w:hAnsi="楷体_GB2312" w:eastAsia="仿宋_GB2312" w:cs="楷体_GB2312"/>
          <w:kern w:val="2"/>
          <w:szCs w:val="22"/>
        </w:rPr>
        <w:t>4.</w:t>
      </w:r>
      <w:r>
        <w:rPr>
          <w:rFonts w:hint="eastAsia" w:ascii="仿宋_GB2312" w:hAnsi="Calibri" w:eastAsia="仿宋_GB2312"/>
          <w:kern w:val="2"/>
        </w:rPr>
        <w:t>加强船舶污染控制，积极治理船舶污染。依法强制报废超过使用年限的船舶。2018年起投入使用的沿海船舶、2021年起投入使用的内河船舶执行新的标准；其他船舶于2020年底前完成改造，经改造仍不能达到要求的，限期予以淘汰。航行于我区水域的国际航线船舶，要实施压载水交换或安装压载水灭活处理系统。规范拆船行为，禁止冲滩拆解。（</w:t>
      </w:r>
      <w:r>
        <w:rPr>
          <w:rFonts w:hint="eastAsia" w:ascii="仿宋_GB2312" w:hAnsi="Arial" w:eastAsia="仿宋_GB2312" w:cs="Arial"/>
        </w:rPr>
        <w:t>区规划建设和交通局</w:t>
      </w:r>
      <w:r>
        <w:rPr>
          <w:rFonts w:hint="eastAsia" w:ascii="仿宋_GB2312" w:eastAsia="仿宋_GB2312"/>
        </w:rPr>
        <w:t>牵头</w:t>
      </w:r>
      <w:r>
        <w:rPr>
          <w:rFonts w:hint="eastAsia" w:ascii="仿宋_GB2312" w:hAnsi="Calibri" w:eastAsia="仿宋_GB2312"/>
          <w:kern w:val="2"/>
        </w:rPr>
        <w:t>、</w:t>
      </w:r>
      <w:r>
        <w:rPr>
          <w:rFonts w:hint="eastAsia" w:ascii="仿宋_GB2312" w:eastAsia="仿宋_GB2312"/>
        </w:rPr>
        <w:t>区</w:t>
      </w:r>
      <w:r>
        <w:rPr>
          <w:rFonts w:hint="eastAsia" w:ascii="仿宋_GB2312" w:hAnsi="Calibri" w:eastAsia="仿宋_GB2312"/>
          <w:kern w:val="2"/>
        </w:rPr>
        <w:t>经发局、区农村事务局、</w:t>
      </w:r>
      <w:r>
        <w:rPr>
          <w:rFonts w:hint="eastAsia" w:ascii="仿宋_GB2312" w:eastAsia="仿宋_GB2312"/>
        </w:rPr>
        <w:t>市</w:t>
      </w:r>
      <w:r>
        <w:rPr>
          <w:rFonts w:hint="eastAsia" w:ascii="仿宋_GB2312" w:hAnsi="Calibri" w:eastAsia="仿宋_GB2312"/>
          <w:kern w:val="2"/>
        </w:rPr>
        <w:t>环保局</w:t>
      </w:r>
      <w:r>
        <w:rPr>
          <w:rFonts w:hint="eastAsia" w:ascii="仿宋_GB2312" w:eastAsia="仿宋_GB2312"/>
        </w:rPr>
        <w:t>高新分局</w:t>
      </w:r>
      <w:r>
        <w:rPr>
          <w:rFonts w:hint="eastAsia" w:ascii="仿宋_GB2312" w:hAnsi="Calibri" w:eastAsia="仿宋_GB2312"/>
          <w:kern w:val="2"/>
        </w:rPr>
        <w:t>等参与）</w:t>
      </w:r>
    </w:p>
    <w:p w14:paraId="4B59A4F1">
      <w:pPr>
        <w:pStyle w:val="44"/>
        <w:ind w:firstLine="709"/>
        <w:rPr>
          <w:rFonts w:ascii="仿宋_GB2312" w:hAnsi="Calibri" w:eastAsia="仿宋_GB2312"/>
          <w:kern w:val="2"/>
          <w:highlight w:val="red"/>
        </w:rPr>
      </w:pPr>
      <w:r>
        <w:rPr>
          <w:rFonts w:hint="eastAsia" w:ascii="仿宋_GB2312" w:hAnsi="Calibri" w:eastAsia="仿宋_GB2312"/>
          <w:kern w:val="2"/>
        </w:rPr>
        <w:t>增强港口码头污染防治能力。2017年10月底前，编制实施港口、码头、装卸站污染防治方案。加快垃圾接收、转运及处理处置设施建设，提高含油污水、化学品洗舱水等接收处置能力及污染事故应急能力。位于沿海和内河的港口、码头、装卸站及船舶修造厂，分别于2017年底前和2020年底前达到建设要求。港口、码头、装卸站的经营人应制定防治船舶及其有关活动污染水环境的应急计划。（</w:t>
      </w:r>
      <w:r>
        <w:rPr>
          <w:rFonts w:hint="eastAsia" w:ascii="仿宋_GB2312" w:hAnsi="Arial" w:eastAsia="仿宋_GB2312" w:cs="Arial"/>
        </w:rPr>
        <w:t>区规划建设和交通局</w:t>
      </w:r>
      <w:r>
        <w:rPr>
          <w:rFonts w:hint="eastAsia" w:ascii="仿宋_GB2312" w:hAnsi="Calibri" w:eastAsia="仿宋_GB2312"/>
          <w:kern w:val="2"/>
        </w:rPr>
        <w:t>牵头，区农村事务局、市环保局高</w:t>
      </w:r>
      <w:r>
        <w:rPr>
          <w:rFonts w:hint="eastAsia" w:ascii="仿宋_GB2312" w:eastAsia="仿宋_GB2312"/>
        </w:rPr>
        <w:t>新分局</w:t>
      </w:r>
      <w:r>
        <w:rPr>
          <w:rFonts w:hint="eastAsia" w:ascii="仿宋_GB2312" w:hAnsi="Calibri" w:eastAsia="仿宋_GB2312"/>
          <w:kern w:val="2"/>
        </w:rPr>
        <w:t>、</w:t>
      </w:r>
      <w:r>
        <w:rPr>
          <w:rFonts w:hint="eastAsia" w:ascii="仿宋_GB2312" w:eastAsia="仿宋_GB2312"/>
        </w:rPr>
        <w:t>区</w:t>
      </w:r>
      <w:r>
        <w:rPr>
          <w:rFonts w:hint="eastAsia" w:ascii="仿宋_GB2312" w:hAnsi="Calibri" w:eastAsia="仿宋_GB2312"/>
          <w:kern w:val="2"/>
        </w:rPr>
        <w:t>经发局等参与）</w:t>
      </w:r>
    </w:p>
    <w:p w14:paraId="4C849509">
      <w:pPr>
        <w:pStyle w:val="3"/>
        <w:spacing w:before="156" w:after="156"/>
        <w:ind w:firstLine="710"/>
      </w:pPr>
      <w:bookmarkStart w:id="7" w:name="_Toc491959425"/>
      <w:r>
        <w:rPr>
          <w:rFonts w:hint="eastAsia"/>
        </w:rPr>
        <w:t>（二）推动经济结构转型</w:t>
      </w:r>
      <w:bookmarkEnd w:id="7"/>
    </w:p>
    <w:p w14:paraId="7A44B37A">
      <w:pPr>
        <w:spacing w:line="590" w:lineRule="exact"/>
        <w:ind w:firstLine="640" w:firstLineChars="200"/>
        <w:rPr>
          <w:rFonts w:ascii="仿宋_GB2312" w:eastAsia="仿宋_GB2312"/>
          <w:sz w:val="32"/>
          <w:szCs w:val="32"/>
        </w:rPr>
      </w:pPr>
      <w:r>
        <w:rPr>
          <w:rFonts w:hint="eastAsia" w:ascii="仿宋_GB2312" w:eastAsia="仿宋_GB2312"/>
          <w:sz w:val="32"/>
          <w:szCs w:val="32"/>
        </w:rPr>
        <w:t>1．调整产业结构。自2015年起，依据工业行业淘汰落后生产工艺装备和产品指导目录、产业结构调整指导目录及相关行业污染物排放标准，结合水质改善要求及产业发展情况，制定并实施分年度的落后产能淘汰方案，2016年起每年1月底前将上年度落后产能淘汰方案报市经济和信息化局、市环境保护局备案。（区经发局牵头，市环保局高新分局等参与）</w:t>
      </w:r>
    </w:p>
    <w:p w14:paraId="678922B0">
      <w:pPr>
        <w:spacing w:line="590" w:lineRule="exact"/>
        <w:ind w:firstLine="640" w:firstLineChars="200"/>
        <w:rPr>
          <w:rFonts w:ascii="仿宋_GB2312" w:eastAsia="仿宋_GB2312"/>
          <w:sz w:val="32"/>
          <w:szCs w:val="32"/>
        </w:rPr>
      </w:pPr>
      <w:r>
        <w:rPr>
          <w:rFonts w:hint="eastAsia" w:ascii="仿宋_GB2312" w:eastAsia="仿宋_GB2312"/>
          <w:sz w:val="32"/>
          <w:szCs w:val="32"/>
        </w:rPr>
        <w:t>加快制浆造纸、制革、电镀、钢铁、有色金属、纺织印染、农副食品加工等行业落后产能淘汰。重点推进造纸业、钢铁落后产能淘汰，年产3.4万吨以下草浆生产装置、年产1.7万吨以下化学制浆生产线，以废纸为原料、年产1万吨以下的造纸生产线一律淘汰；淘汰土烧结、30平方米及以下烧结机、化铁炼钢、400立方米及以下炼铁高炉（铸铁高炉除外）、公称容量30吨及以下炼钢转炉和电炉（机械铸造和生产高合金钢电炉除外）等落后工艺技术装备；淘汰铝自焙电解槽、100KA及以下电解铝预焙槽，密闭鼓风炉、电炉、反射炉炼铜工艺及设备。（区经发局牵头，市环保局高新分局、区综合行政执法局等参与）</w:t>
      </w:r>
    </w:p>
    <w:p w14:paraId="1D69D4BF">
      <w:pPr>
        <w:spacing w:line="590" w:lineRule="exact"/>
        <w:ind w:firstLine="640" w:firstLineChars="200"/>
        <w:rPr>
          <w:rFonts w:ascii="仿宋_GB2312" w:eastAsia="仿宋_GB2312"/>
          <w:sz w:val="32"/>
          <w:szCs w:val="32"/>
        </w:rPr>
      </w:pPr>
      <w:r>
        <w:rPr>
          <w:rFonts w:hint="eastAsia" w:ascii="仿宋_GB2312" w:eastAsia="仿宋_GB2312"/>
          <w:sz w:val="32"/>
          <w:szCs w:val="32"/>
        </w:rPr>
        <w:t>2．严格环境准入。严格执行《广东省地表水环境功能区划》、《广东省近岸海域环境功能区划》等区划，地表水Ⅰ、Ⅱ类水域和Ⅲ类水域中划定的保护区、游泳区以及一类海域禁止新建排污口，现有排污口执行一级标准且不得增加污染物排放总量；严格落实《广东省实施差别化环保准入促进区域协调发展的指导意见》（粤环〔2014〕27号）等文件要求，坚持“在发展中保护”，科学利用环境容量，有序发展，维持环境质量总体稳定，留住碧水蓝天。建立水资源、水环境承载能力监测评价体系，实行承载能力监测预警；到2020年底，应组织完成行政区域内水资源、水环境承载能力现状评价，已超过承载能力的地区应编制并实施水污染物削减方案，加快调整发展规划和产业结构。（市环保局高新分局牵头，区规划建设和交通局、区农村事务局等参与）</w:t>
      </w:r>
    </w:p>
    <w:p w14:paraId="1916FEED">
      <w:pPr>
        <w:spacing w:line="590" w:lineRule="exact"/>
        <w:ind w:firstLine="640" w:firstLineChars="200"/>
        <w:rPr>
          <w:rFonts w:ascii="仿宋_GB2312" w:eastAsia="仿宋_GB2312"/>
          <w:sz w:val="32"/>
          <w:szCs w:val="32"/>
        </w:rPr>
      </w:pPr>
      <w:r>
        <w:rPr>
          <w:rFonts w:hint="eastAsia" w:ascii="仿宋_GB2312" w:eastAsia="仿宋_GB2312"/>
          <w:sz w:val="32"/>
          <w:szCs w:val="32"/>
        </w:rPr>
        <w:t>强化规划环评与项目环评的联动。对未依法开展规划环评或与规划环评审查结论不一致的，原则上不予受理规划所包含的建设项目环评文件。严格执行建设项目主要污染物排放总量前置审核制度，实行控制单元内污染物排放“等量置换”或“减量置换”。对不符合产业政策要求、未取得主要污染物总量指标、达不到污染物排放标准的建设项目，环评文件一律不予审批。（市环保局高新分局牵头，区经发局参与）</w:t>
      </w:r>
    </w:p>
    <w:p w14:paraId="1C8B26AE">
      <w:pPr>
        <w:spacing w:line="590" w:lineRule="exact"/>
        <w:ind w:firstLine="640" w:firstLineChars="200"/>
        <w:rPr>
          <w:rFonts w:ascii="仿宋_GB2312" w:eastAsia="仿宋_GB2312"/>
          <w:sz w:val="32"/>
          <w:szCs w:val="32"/>
        </w:rPr>
      </w:pPr>
      <w:r>
        <w:rPr>
          <w:rFonts w:hint="eastAsia" w:ascii="仿宋_GB2312" w:eastAsia="仿宋_GB2312"/>
          <w:sz w:val="32"/>
          <w:szCs w:val="32"/>
        </w:rPr>
        <w:t>3．优化空间布局，合理确定发展布局、结构和规模。充分考虑水资源、水环境承载能力，以水定城、以水定地、以水定人、以水定产。重大项目原则上布局在优化开发区和重点开发区。严格控制水污染严重地区和供水通道敏感区域高耗水、高污染行业发展，新建、改建、扩建涉水建设项目实行主要污染物和特征污染物排放减量置换。继续稳步推进电镀、制革、纺织印染、化学制浆等重污染行业的统一规划、统一定点工作，于2018年底前依法关停污染严重、治理无望又拒不进入定点园区的重污染企业。（区经发局牵头，市国土资源局高新区分局、区规划建设和交通局、市环保局高新分局、区农村事务局等参与）</w:t>
      </w:r>
    </w:p>
    <w:p w14:paraId="4E53C707">
      <w:pPr>
        <w:spacing w:line="590" w:lineRule="exact"/>
        <w:ind w:firstLine="640" w:firstLineChars="200"/>
        <w:rPr>
          <w:rFonts w:ascii="仿宋_GB2312" w:eastAsia="仿宋_GB2312"/>
          <w:sz w:val="32"/>
          <w:szCs w:val="32"/>
        </w:rPr>
      </w:pPr>
      <w:r>
        <w:rPr>
          <w:rFonts w:hint="eastAsia" w:ascii="仿宋_GB2312" w:eastAsia="仿宋_GB2312"/>
          <w:sz w:val="32"/>
          <w:szCs w:val="32"/>
        </w:rPr>
        <w:t>积极推进工业企业进园区，严格园区的项目准入管理。推进主导产业入园进区，形成产业集中管理、资源集约利用、污染统一处理的空间格局。大力支持省级产业园区珠海（阳江）产业转移工业园建成绿色、高效、循环经济示范园区，积极引导五金、食品及纺织等主导产业入驻工业园区，形成以园区为核心的产业发展格局。禁止电镀、制革、纺织印染、制浆造纸等重污染行业入园。（区经发局牵头，市国土资源局高新区分局、区规划建设和交通局、市环保局高新分局等参与）</w:t>
      </w:r>
    </w:p>
    <w:p w14:paraId="5DE86BA6">
      <w:pPr>
        <w:spacing w:line="590" w:lineRule="exact"/>
        <w:ind w:firstLine="640" w:firstLineChars="200"/>
        <w:rPr>
          <w:rFonts w:ascii="仿宋_GB2312" w:eastAsia="仿宋_GB2312"/>
          <w:sz w:val="32"/>
          <w:szCs w:val="32"/>
        </w:rPr>
      </w:pPr>
      <w:r>
        <w:rPr>
          <w:rFonts w:hint="eastAsia" w:ascii="仿宋_GB2312" w:eastAsia="仿宋_GB2312"/>
          <w:sz w:val="32"/>
          <w:szCs w:val="32"/>
        </w:rPr>
        <w:t>推动污染企业退出。加强督查落实，督促城镇建成区内应搬迁改造的有色金属、制浆造纸、纺织印染、化工、电镀等行业重污染企业实施搬迁。自2016年起，对城市建成区内现有有色金属、制浆造纸、纺织印染、化工、电镀等污染较重的企业进行排查并制定年度搬迁改造或关闭计划。（区经发局牵头，市环保局高新分局参与）</w:t>
      </w:r>
    </w:p>
    <w:p w14:paraId="6DF8D04C">
      <w:pPr>
        <w:pStyle w:val="44"/>
        <w:ind w:firstLine="709"/>
        <w:rPr>
          <w:rFonts w:ascii="仿宋_GB2312" w:hAnsi="Calibri" w:eastAsia="仿宋_GB2312"/>
          <w:kern w:val="2"/>
        </w:rPr>
      </w:pPr>
      <w:r>
        <w:rPr>
          <w:rFonts w:hint="eastAsia" w:ascii="仿宋_GB2312" w:hAnsi="Calibri" w:eastAsia="仿宋_GB2312"/>
          <w:kern w:val="2"/>
        </w:rPr>
        <w:t>积极保护生态空间。2017年底前，划定蓝线管理范围，在城市规划区范围内保留一定比例的水域面积，达不到要求的市应制定整改恢复计划，新建项目一律不得违规占用水域。土地开发利用应按照有关法律法规和技术标准要求，留足河道、湖泊和滨海地带的管理和保护范围，非法挤占的应于2020年前退出。严格限制重要水库集雨区生态保护与水源涵养区域变更土地利用方式。（市国土资源局高新区分局、区规划建设和交通局区牵头，市环保局高新分局、农村事务局等参与）</w:t>
      </w:r>
    </w:p>
    <w:p w14:paraId="67A11022">
      <w:pPr>
        <w:spacing w:line="590" w:lineRule="exact"/>
        <w:ind w:firstLine="640" w:firstLineChars="200"/>
        <w:rPr>
          <w:rFonts w:ascii="仿宋_GB2312" w:eastAsia="仿宋_GB2312"/>
          <w:sz w:val="32"/>
          <w:szCs w:val="32"/>
        </w:rPr>
      </w:pPr>
      <w:r>
        <w:rPr>
          <w:rFonts w:hint="eastAsia" w:ascii="仿宋_GB2312" w:eastAsia="仿宋_GB2312"/>
          <w:sz w:val="32"/>
          <w:szCs w:val="32"/>
        </w:rPr>
        <w:t>4．发展绿色产业和循环经济。强化节水减排的刚性约束，积极引导低消耗、低排放和高效率的先进制造业和现代服务业发展。出台优惠政策推动循环发展，鼓励纺织印染、制浆造纸、化工、电镀、制革、冶金、电力等高耗水行业实施绿色化升级改造和废水深度处理回用，着力推进工业园区生态化建设。依法全面推行清洁生产审核。（区经发局、区科技局、市环保局高新分局参与）</w:t>
      </w:r>
    </w:p>
    <w:p w14:paraId="052B4515">
      <w:pPr>
        <w:spacing w:line="590" w:lineRule="exact"/>
        <w:ind w:firstLine="640" w:firstLineChars="200"/>
        <w:rPr>
          <w:rFonts w:ascii="仿宋_GB2312" w:eastAsia="仿宋_GB2312"/>
          <w:sz w:val="32"/>
          <w:szCs w:val="32"/>
        </w:rPr>
      </w:pPr>
      <w:r>
        <w:rPr>
          <w:rFonts w:hint="eastAsia" w:ascii="仿宋_GB2312" w:eastAsia="仿宋_GB2312"/>
          <w:sz w:val="32"/>
          <w:szCs w:val="32"/>
        </w:rPr>
        <w:t>促进再生水利用。具备使用再生水条件但未充分利用的钢铁、火电、化工、制浆造纸、纺织印染、电镀等项目，原则上不得批准其新增取水许可。自2018年起，单体建筑面积超过2万平方米的新建公共建筑，应安装建筑中水设施，积极推动其他新建住房安装建筑中水设施。推动海水利用，在我区沿海地区电力等用水量大的行业，可推行直接利用海水作为循环冷却水等工业用水。（</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牵头，区经发局、市环保局高新分局、区农村事务局等参与）</w:t>
      </w:r>
    </w:p>
    <w:p w14:paraId="46E3A390">
      <w:pPr>
        <w:pStyle w:val="3"/>
        <w:spacing w:before="156" w:after="156"/>
        <w:ind w:firstLine="710"/>
      </w:pPr>
      <w:bookmarkStart w:id="8" w:name="_Toc491959426"/>
      <w:r>
        <w:rPr>
          <w:rFonts w:hint="eastAsia"/>
        </w:rPr>
        <w:t>（三）着力节约水资源</w:t>
      </w:r>
      <w:bookmarkEnd w:id="8"/>
    </w:p>
    <w:p w14:paraId="4D55A173">
      <w:pPr>
        <w:spacing w:line="590" w:lineRule="exact"/>
        <w:ind w:firstLine="640" w:firstLineChars="200"/>
        <w:rPr>
          <w:rFonts w:ascii="仿宋_GB2312" w:eastAsia="仿宋_GB2312"/>
          <w:sz w:val="32"/>
          <w:szCs w:val="32"/>
        </w:rPr>
      </w:pPr>
      <w:r>
        <w:rPr>
          <w:rFonts w:hint="eastAsia" w:ascii="仿宋_GB2312" w:eastAsia="仿宋_GB2312"/>
          <w:sz w:val="32"/>
          <w:szCs w:val="32"/>
        </w:rPr>
        <w:t>1．控制用水总量。实施最严格水资源管理，健全取用水总量控制指标体系。加强相关规划和项目建设布局水资源论证工作，国民经济和社会发展规划以及城市总体规划的编制、重大建设项目的布局，应充分考虑当地水资源条件和防洪要求。对取用水总量已达到或超过控制指标的地区，暂停审批其建设项目新增取水许可。对纳入取水许可管理的单位和其他用水大户实行计划用水管理。要对自备水源情况进行排查，严禁私自取水用于生产和商业用途。严格执行《广东省用水定额》（DB44/T1461）地方标准。新建、改建、扩建项目用水效率要达到行业先进水平，节水设施应与主体工程同时设计、同时施工、同时投运。2016年底前，建立重点监控用水单位名录和动态数据库。到2020年，全区用水总量控制在省、市下达指标以内。（</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牵头，区经发局</w:t>
      </w:r>
      <w:r>
        <w:rPr>
          <w:rFonts w:hint="eastAsia" w:ascii="仿宋_GB2312" w:hAnsi="仿宋_GB2312" w:eastAsia="仿宋_GB2312" w:cs="仿宋_GB2312"/>
          <w:sz w:val="32"/>
          <w:szCs w:val="32"/>
        </w:rPr>
        <w:t>、</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等参与）</w:t>
      </w:r>
    </w:p>
    <w:p w14:paraId="3C619353">
      <w:pPr>
        <w:spacing w:line="590" w:lineRule="exact"/>
        <w:ind w:firstLine="640" w:firstLineChars="200"/>
        <w:rPr>
          <w:rFonts w:ascii="仿宋_GB2312" w:eastAsia="仿宋_GB2312"/>
          <w:sz w:val="32"/>
          <w:szCs w:val="32"/>
        </w:rPr>
      </w:pPr>
      <w:r>
        <w:rPr>
          <w:rFonts w:hint="eastAsia" w:ascii="仿宋_GB2312" w:eastAsia="仿宋_GB2312"/>
          <w:sz w:val="32"/>
          <w:szCs w:val="32"/>
        </w:rPr>
        <w:t>严控地下水超采。在地面沉降、严控地下水超采。在地面沉降、地裂缝、岩溶塌陷等地质灾害易发区开发利用地下水，应进行地质灾害危险性评估。严格控制开采深层承压水，地热水、矿泉水开发应严格实行取水许可和采矿许可。依法规范机井建设管理，排查登记已建机井，未经批准的和公共供水管网覆盖范围内的生产或商用水井，一律予以关闭。（区农村事务局、市国土资源局高新区分局牵头，区经发局、区财政局、</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等参与）</w:t>
      </w:r>
    </w:p>
    <w:p w14:paraId="19514C59">
      <w:pPr>
        <w:spacing w:line="590" w:lineRule="exact"/>
        <w:ind w:firstLine="640" w:firstLineChars="200"/>
        <w:rPr>
          <w:rFonts w:ascii="仿宋_GB2312" w:eastAsia="仿宋_GB2312"/>
          <w:sz w:val="32"/>
          <w:szCs w:val="32"/>
        </w:rPr>
      </w:pPr>
      <w:r>
        <w:rPr>
          <w:rFonts w:hint="eastAsia" w:ascii="仿宋_GB2312" w:eastAsia="仿宋_GB2312"/>
          <w:sz w:val="32"/>
          <w:szCs w:val="32"/>
        </w:rPr>
        <w:t>2．提高用水效率。建立包括万元国内生产总值水耗、万元工业增加值用水量等用水效率评估体系，把节水目标任务完成情况纳入基层政府政绩考核。将再生水、雨水和微咸水等非常规水源纳入水资源统一配置。根据国家部署实施用水效率标识管理制度。到2020年，全区万元国内生产总值用水量、万元工业增加值用水量比2015年分别下降33%、20%以上。（区经发局牵头，</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参与）</w:t>
      </w:r>
    </w:p>
    <w:p w14:paraId="65B7A732">
      <w:pPr>
        <w:spacing w:line="590" w:lineRule="exact"/>
        <w:ind w:firstLine="640" w:firstLineChars="200"/>
        <w:rPr>
          <w:rFonts w:ascii="仿宋_GB2312" w:eastAsia="仿宋_GB2312"/>
          <w:sz w:val="32"/>
          <w:szCs w:val="32"/>
        </w:rPr>
      </w:pPr>
      <w:r>
        <w:rPr>
          <w:rFonts w:hint="eastAsia" w:ascii="仿宋_GB2312" w:eastAsia="仿宋_GB2312"/>
          <w:sz w:val="32"/>
          <w:szCs w:val="32"/>
        </w:rPr>
        <w:t>抓好工业节水。开展节水诊断、水平衡测试、用水效率评估，严格用水定额管理。到2020年，电力、纺织印染、造纸、石油石化、化工、食品发酵、电镀等高耗水行业达到先进定额标准。各区要对上述行业开展排查，于2017年底前列出未达标企业清单并提出整改计划。（</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牵头，区经发局参与）</w:t>
      </w:r>
    </w:p>
    <w:p w14:paraId="75CBEE0D">
      <w:pPr>
        <w:spacing w:line="590" w:lineRule="exact"/>
        <w:ind w:firstLine="640" w:firstLineChars="200"/>
        <w:rPr>
          <w:rFonts w:ascii="仿宋_GB2312" w:eastAsia="仿宋_GB2312"/>
          <w:sz w:val="32"/>
          <w:szCs w:val="32"/>
        </w:rPr>
      </w:pPr>
      <w:r>
        <w:rPr>
          <w:rFonts w:hint="eastAsia" w:ascii="仿宋_GB2312" w:eastAsia="仿宋_GB2312"/>
          <w:sz w:val="32"/>
          <w:szCs w:val="32"/>
        </w:rPr>
        <w:t>加强城镇节水。禁止生产、销售不符合节水标准的产品、设备。公共建筑必须采用节水器具，于2016年6月底前制定限期淘汰公共建筑中不符合节水标准的水嘴、便器水箱等生活用水器具。鼓励居民家庭选用节水器具。对使用超过50年和材质落后的供水管网进行更新改造，到2017年，完成公共用水场所的节水型生活用水器具普及改造，全区公共供水管网漏损率控制在12%以内；到2020年，控制在10%以内。积极推行低影响开发建设模式，建设滞、渗、蓄、用、排相结合的雨水收集利用设施。新建城区硬化地面，可渗透面积要达到40%以上。到2020年，达到国家节水型城市标准要求。（区经发局牵头，</w:t>
      </w:r>
      <w:r>
        <w:rPr>
          <w:rFonts w:hint="eastAsia" w:ascii="仿宋_GB2312" w:hAnsi="Arial" w:eastAsia="仿宋_GB2312" w:cs="Arial"/>
          <w:kern w:val="0"/>
          <w:sz w:val="32"/>
          <w:szCs w:val="32"/>
        </w:rPr>
        <w:t>区规划建设和交通局、区农村事务局</w:t>
      </w:r>
      <w:r>
        <w:rPr>
          <w:rFonts w:hint="eastAsia" w:ascii="仿宋_GB2312" w:eastAsia="仿宋_GB2312"/>
          <w:sz w:val="32"/>
          <w:szCs w:val="32"/>
        </w:rPr>
        <w:t>参与）</w:t>
      </w:r>
    </w:p>
    <w:p w14:paraId="7FFDECD0">
      <w:pPr>
        <w:spacing w:line="590" w:lineRule="exact"/>
        <w:ind w:firstLine="640" w:firstLineChars="200"/>
        <w:rPr>
          <w:rFonts w:ascii="仿宋_GB2312" w:eastAsia="仿宋_GB2312"/>
          <w:sz w:val="32"/>
          <w:szCs w:val="32"/>
        </w:rPr>
      </w:pPr>
      <w:r>
        <w:rPr>
          <w:rFonts w:hint="eastAsia" w:ascii="仿宋_GB2312" w:eastAsia="仿宋_GB2312"/>
          <w:sz w:val="32"/>
          <w:szCs w:val="32"/>
        </w:rPr>
        <w:t>加强农田水利基础设施建设，加快发展农业节水。推进农田水利工程建设，形成较为完善的排灌工程体系，持续改善农田水利基础设施条件，显著提高农业综合生产能力。以渠道防渗为主，重点加快灌排工程更新改造，在水资源短缺地区大力推广高效节水灌溉技术，因地制宜发展低压管道输水、喷灌、微灌和滴灌等精准节水节肥灌溉技术，推进规模化高效节水灌溉，推广农作物节水抗旱技术，鼓励种植旱粮作物。到2020年，大型灌区、重点中型灌区续建配套和节水改造任务基本完成，农田灌溉水有效利用系数符合国家及广东省下达的标准。（</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牵头，区经发局、区财政局等参与）</w:t>
      </w:r>
    </w:p>
    <w:p w14:paraId="6B13E268">
      <w:pPr>
        <w:spacing w:line="590" w:lineRule="exact"/>
        <w:ind w:firstLine="640" w:firstLineChars="200"/>
        <w:rPr>
          <w:rFonts w:ascii="仿宋_GB2312" w:eastAsia="仿宋_GB2312"/>
          <w:sz w:val="32"/>
          <w:szCs w:val="32"/>
        </w:rPr>
      </w:pPr>
      <w:r>
        <w:rPr>
          <w:rFonts w:hint="eastAsia" w:ascii="仿宋_GB2312" w:eastAsia="仿宋_GB2312"/>
          <w:sz w:val="32"/>
          <w:szCs w:val="32"/>
        </w:rPr>
        <w:t>3．科学保护调度水资源。完善水资源保护考核评价体系。加强水功能区监督管理，2017年底前，从严核定主要江河湖泊水域纳污能力，2019年底前完成全区江河湖泊纳污能力核定。（区农村事务局牵头，区经发局、市环保局高新分局等参与）</w:t>
      </w:r>
    </w:p>
    <w:p w14:paraId="64A0B955">
      <w:pPr>
        <w:spacing w:line="590" w:lineRule="exact"/>
        <w:ind w:firstLine="640" w:firstLineChars="200"/>
        <w:rPr>
          <w:rFonts w:ascii="仿宋_GB2312" w:eastAsia="仿宋_GB2312"/>
          <w:sz w:val="32"/>
          <w:szCs w:val="32"/>
        </w:rPr>
      </w:pPr>
      <w:r>
        <w:rPr>
          <w:rFonts w:hint="eastAsia" w:ascii="仿宋_GB2312" w:eastAsia="仿宋_GB2312"/>
          <w:sz w:val="32"/>
          <w:szCs w:val="32"/>
        </w:rPr>
        <w:t>加强江河湖库管理和水量调度。推进河道管理范围和水利工程管理范围的划界确权工作，分步骤、按要求、依法规划定河湖管理范围，设立界桩、管理和保护标志，明确管理界线。采取闸坝联合调度、生态补水等措施，合理安排闸坝下泄水量和泄流时段，维持河湖基本生态用水需求，重点保障枯水期生态基流。加大水利工程建设力度，发挥好控制性水利工程在改善水质中的作用。（</w:t>
      </w:r>
      <w:r>
        <w:rPr>
          <w:rFonts w:hint="eastAsia" w:ascii="仿宋_GB2312" w:hAnsi="Arial" w:eastAsia="仿宋_GB2312" w:cs="Arial"/>
          <w:kern w:val="0"/>
          <w:sz w:val="32"/>
          <w:szCs w:val="32"/>
        </w:rPr>
        <w:t>区农村事务局</w:t>
      </w:r>
      <w:r>
        <w:rPr>
          <w:rFonts w:hint="eastAsia" w:ascii="仿宋_GB2312" w:eastAsia="仿宋_GB2312"/>
          <w:sz w:val="32"/>
          <w:szCs w:val="32"/>
        </w:rPr>
        <w:t>牵头，市环保局高新分局参与）</w:t>
      </w:r>
    </w:p>
    <w:p w14:paraId="73513355">
      <w:pPr>
        <w:pStyle w:val="3"/>
        <w:spacing w:before="156" w:after="156"/>
        <w:ind w:firstLine="710"/>
      </w:pPr>
      <w:bookmarkStart w:id="9" w:name="_Toc491959427"/>
      <w:r>
        <w:rPr>
          <w:rFonts w:hint="eastAsia"/>
        </w:rPr>
        <w:t>（四）</w:t>
      </w:r>
      <w:r>
        <w:rPr>
          <w:rFonts w:hint="eastAsia" w:hAnsi="宋体"/>
          <w:kern w:val="0"/>
          <w:sz w:val="30"/>
          <w:szCs w:val="30"/>
        </w:rPr>
        <w:t>生态优先</w:t>
      </w:r>
      <w:r>
        <w:rPr>
          <w:rFonts w:hint="eastAsia" w:hAnsi="宋体"/>
          <w:sz w:val="30"/>
          <w:szCs w:val="30"/>
        </w:rPr>
        <w:t>,</w:t>
      </w:r>
      <w:r>
        <w:rPr>
          <w:rFonts w:hint="eastAsia"/>
        </w:rPr>
        <w:t>全力保障水生态环境安全</w:t>
      </w:r>
      <w:bookmarkEnd w:id="9"/>
    </w:p>
    <w:p w14:paraId="79DAB0AD">
      <w:pPr>
        <w:ind w:firstLine="640" w:firstLineChars="200"/>
        <w:rPr>
          <w:rFonts w:ascii="仿宋_GB2312" w:eastAsia="仿宋_GB2312"/>
          <w:sz w:val="32"/>
          <w:szCs w:val="32"/>
        </w:rPr>
      </w:pPr>
      <w:r>
        <w:rPr>
          <w:rFonts w:hint="eastAsia" w:ascii="仿宋_GB2312" w:eastAsia="仿宋_GB2312"/>
          <w:sz w:val="32"/>
          <w:szCs w:val="32"/>
        </w:rPr>
        <w:t>1．深化重点流域污染防治。</w:t>
      </w:r>
      <w:r>
        <w:rPr>
          <w:rFonts w:hint="eastAsia" w:ascii="仿宋_GB2312" w:eastAsia="仿宋_GB2312"/>
          <w:sz w:val="32"/>
          <w:szCs w:val="32"/>
          <w:lang w:eastAsia="zh-CN"/>
        </w:rPr>
        <w:t>按照</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eastAsia="zh-CN"/>
        </w:rPr>
        <w:t>阳江市南粤水更清行动计划实施方案</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eastAsia="zh-CN"/>
        </w:rPr>
        <w:t>。</w:t>
      </w:r>
      <w:r>
        <w:rPr>
          <w:rFonts w:hint="eastAsia" w:ascii="仿宋_GB2312" w:eastAsia="仿宋_GB2312"/>
          <w:sz w:val="32"/>
          <w:szCs w:val="32"/>
        </w:rPr>
        <w:t>细化完善流域水生态环境功能分区方案。对化学需氧量、氨氮、总磷、重金属及其他影响人体健康的污染物采取针对性措施，加大整治力度。全面实施水环境综合整治方案，完成市下达的各年度整治任务和绩效目标。（市环保局高新分局牵头，区经发局、区财政局、</w:t>
      </w:r>
      <w:r>
        <w:rPr>
          <w:rFonts w:hint="eastAsia" w:ascii="仿宋_GB2312" w:hAnsi="Arial" w:eastAsia="仿宋_GB2312" w:cs="Arial"/>
          <w:kern w:val="0"/>
          <w:sz w:val="32"/>
          <w:szCs w:val="32"/>
        </w:rPr>
        <w:t>区规划建设和交通局、区农村事务局</w:t>
      </w:r>
      <w:r>
        <w:rPr>
          <w:rFonts w:hint="eastAsia" w:ascii="仿宋_GB2312" w:eastAsia="仿宋_GB2312"/>
          <w:sz w:val="32"/>
          <w:szCs w:val="32"/>
        </w:rPr>
        <w:t>等参与）</w:t>
      </w:r>
    </w:p>
    <w:p w14:paraId="4B0D0462">
      <w:pPr>
        <w:ind w:firstLine="640" w:firstLineChars="200"/>
        <w:rPr>
          <w:rFonts w:ascii="仿宋_GB2312" w:eastAsia="仿宋_GB2312"/>
          <w:sz w:val="32"/>
          <w:szCs w:val="32"/>
        </w:rPr>
      </w:pPr>
      <w:r>
        <w:rPr>
          <w:rFonts w:hint="eastAsia" w:ascii="仿宋_GB2312" w:eastAsia="仿宋_GB2312"/>
          <w:sz w:val="32"/>
          <w:szCs w:val="32"/>
        </w:rPr>
        <w:t>加强良好水体保护。加强重要水库集雨区水污染防治工作。对江河源头及现状水质达到或优于</w:t>
      </w:r>
      <w:r>
        <w:rPr>
          <w:rFonts w:hint="eastAsia" w:ascii="仿宋_GB2312" w:hAnsi="宋体" w:eastAsia="仿宋_GB2312" w:cs="宋体"/>
          <w:sz w:val="32"/>
          <w:szCs w:val="32"/>
        </w:rPr>
        <w:t>Ⅲ</w:t>
      </w:r>
      <w:r>
        <w:rPr>
          <w:rFonts w:hint="eastAsia" w:ascii="仿宋_GB2312" w:eastAsia="仿宋_GB2312"/>
          <w:sz w:val="32"/>
          <w:szCs w:val="32"/>
        </w:rPr>
        <w:t>类的江河湖库开展生态环境安全评估，2017年底前，制定实施良好水体生态环境保护方案。强化重要水库的水环境保护，有效削减入库污染负荷。（市环保局高新分局牵头，区经发局、区财政局、</w:t>
      </w:r>
      <w:r>
        <w:rPr>
          <w:rFonts w:hint="eastAsia" w:ascii="仿宋_GB2312" w:hAnsi="Arial" w:eastAsia="仿宋_GB2312" w:cs="Arial"/>
          <w:kern w:val="0"/>
          <w:sz w:val="32"/>
          <w:szCs w:val="32"/>
        </w:rPr>
        <w:t>区规划建设和交通局、区农村事务局</w:t>
      </w:r>
      <w:r>
        <w:rPr>
          <w:rFonts w:hint="eastAsia" w:ascii="仿宋_GB2312" w:eastAsia="仿宋_GB2312"/>
          <w:sz w:val="32"/>
          <w:szCs w:val="32"/>
        </w:rPr>
        <w:t>等参与）</w:t>
      </w:r>
    </w:p>
    <w:p w14:paraId="64145CFA">
      <w:pPr>
        <w:ind w:firstLine="640" w:firstLineChars="200"/>
        <w:rPr>
          <w:rFonts w:ascii="仿宋_GB2312" w:eastAsia="仿宋_GB2312"/>
          <w:sz w:val="32"/>
          <w:szCs w:val="32"/>
        </w:rPr>
      </w:pPr>
      <w:r>
        <w:rPr>
          <w:rFonts w:hint="eastAsia" w:ascii="仿宋_GB2312" w:eastAsia="仿宋_GB2312"/>
          <w:sz w:val="32"/>
          <w:szCs w:val="32"/>
        </w:rPr>
        <w:t>防治地下水污染。定期调查评估集中式地下水型饮用水水源补给区等区域环境状况。石化生产存贮销售企业和工业园区、垃圾填埋场等区域应进行必要的防渗处理。加油站地下油罐应于2017年底前全部更新为双层罐或完成防渗池设置。应对报废矿井、钻井、取水井做出计划，2020年底前实施封井回填。公布环境风险大、严重影响公众健康的地下水污染场地清单，开展修复试点。（市环保局高新分局牵头，区经发局、区财政局、</w:t>
      </w:r>
      <w:r>
        <w:rPr>
          <w:rFonts w:hint="eastAsia" w:ascii="仿宋_GB2312" w:hAnsi="Arial" w:eastAsia="仿宋_GB2312" w:cs="Arial"/>
          <w:kern w:val="0"/>
          <w:sz w:val="32"/>
          <w:szCs w:val="32"/>
        </w:rPr>
        <w:t>区规划建设和交通局、区农村事务局、市国土局高新区分局</w:t>
      </w:r>
      <w:r>
        <w:rPr>
          <w:rFonts w:hint="eastAsia" w:ascii="仿宋_GB2312" w:eastAsia="仿宋_GB2312"/>
          <w:sz w:val="32"/>
          <w:szCs w:val="32"/>
        </w:rPr>
        <w:t>等参与）</w:t>
      </w:r>
    </w:p>
    <w:p w14:paraId="62C7BEF0">
      <w:pPr>
        <w:spacing w:line="590" w:lineRule="exact"/>
        <w:ind w:firstLine="640" w:firstLineChars="200"/>
        <w:rPr>
          <w:rFonts w:ascii="仿宋_GB2312" w:eastAsia="仿宋_GB2312"/>
          <w:sz w:val="32"/>
          <w:szCs w:val="32"/>
        </w:rPr>
      </w:pPr>
      <w:r>
        <w:rPr>
          <w:rFonts w:hint="eastAsia" w:ascii="仿宋_GB2312" w:eastAsia="仿宋_GB2312"/>
          <w:sz w:val="32"/>
          <w:szCs w:val="32"/>
        </w:rPr>
        <w:t>2．加强近岸海域环境保护。实施近岸海域污染防治方案，实施总氮排放总量控制。规范入海排污口设置，2017年10月前列出非法或设置不合理的入海排污口清单，2017年底前完成清理。到2020年，入海河流基本消除劣于V类的水体。（市环保局高新分局、区农村事务局牵头，区经发局、区财政局、</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参与）</w:t>
      </w:r>
    </w:p>
    <w:p w14:paraId="0BF4D953">
      <w:pPr>
        <w:pStyle w:val="44"/>
        <w:ind w:firstLine="640" w:firstLineChars="200"/>
        <w:rPr>
          <w:rFonts w:ascii="仿宋_GB2312" w:hAnsi="Calibri" w:eastAsia="仿宋_GB2312"/>
          <w:kern w:val="2"/>
        </w:rPr>
      </w:pPr>
      <w:r>
        <w:rPr>
          <w:rFonts w:hint="eastAsia" w:ascii="仿宋_GB2312" w:hAnsi="Calibri" w:eastAsia="仿宋_GB2312"/>
          <w:kern w:val="2"/>
        </w:rPr>
        <w:t>推进水产生态健康养殖。2017年底前，在近岸海域划定限制养殖区。实施水产养殖池塘、近海养殖网箱标准化改造，严格控制近海养殖密度，鼓励有条件的渔业企业开展海洋离岸养殖和集约化养殖。积极推广人工配合饲料，逐步减少冰鲜杂鱼饲料使用。开展专项整治，加强养殖投入品管理，依法规范、限制使用抗生素等化学药品。（</w:t>
      </w:r>
      <w:r>
        <w:rPr>
          <w:rFonts w:hint="eastAsia" w:ascii="仿宋_GB2312" w:hAnsi="仿宋_GB2312" w:eastAsia="仿宋_GB2312" w:cs="仿宋_GB2312"/>
        </w:rPr>
        <w:t>区农村事务局</w:t>
      </w:r>
      <w:r>
        <w:rPr>
          <w:rFonts w:hint="eastAsia" w:ascii="仿宋_GB2312" w:hAnsi="Calibri" w:eastAsia="仿宋_GB2312"/>
          <w:kern w:val="2"/>
        </w:rPr>
        <w:t>）</w:t>
      </w:r>
    </w:p>
    <w:p w14:paraId="6B7A9A53">
      <w:pPr>
        <w:pStyle w:val="44"/>
        <w:ind w:firstLine="640" w:firstLineChars="200"/>
        <w:rPr>
          <w:rFonts w:ascii="仿宋_GB2312" w:hAnsi="Calibri" w:eastAsia="仿宋_GB2312"/>
          <w:kern w:val="2"/>
        </w:rPr>
      </w:pPr>
      <w:r>
        <w:rPr>
          <w:rFonts w:hint="eastAsia" w:ascii="仿宋_GB2312" w:hAnsi="Calibri" w:eastAsia="仿宋_GB2312"/>
          <w:kern w:val="2"/>
        </w:rPr>
        <w:t>严格控制环境激素类化学品污染。2017年底前完成环境激素类化学品生产使用情况调查，监控评估水源地、农产品种植区及水产品集中养殖区风险，实施环境激素类化学品淘汰、限制、替代等措施。（</w:t>
      </w:r>
      <w:r>
        <w:rPr>
          <w:rFonts w:hint="eastAsia" w:ascii="仿宋_GB2312" w:eastAsia="仿宋_GB2312"/>
        </w:rPr>
        <w:t>市环保局高新分局</w:t>
      </w:r>
      <w:r>
        <w:rPr>
          <w:rFonts w:hint="eastAsia" w:ascii="仿宋_GB2312" w:hAnsi="Calibri" w:eastAsia="仿宋_GB2312"/>
          <w:kern w:val="2"/>
        </w:rPr>
        <w:t>牵头，区经发局、</w:t>
      </w:r>
      <w:r>
        <w:rPr>
          <w:rFonts w:hint="eastAsia" w:ascii="仿宋_GB2312" w:hAnsi="仿宋_GB2312" w:eastAsia="仿宋_GB2312" w:cs="仿宋_GB2312"/>
        </w:rPr>
        <w:t>区农村事务局</w:t>
      </w:r>
      <w:r>
        <w:rPr>
          <w:rFonts w:hint="eastAsia" w:ascii="仿宋_GB2312" w:hAnsi="Calibri" w:eastAsia="仿宋_GB2312"/>
          <w:kern w:val="2"/>
        </w:rPr>
        <w:t>等参与）</w:t>
      </w:r>
    </w:p>
    <w:p w14:paraId="6C56D245">
      <w:pPr>
        <w:spacing w:line="590" w:lineRule="exact"/>
        <w:ind w:firstLine="640" w:firstLineChars="200"/>
        <w:rPr>
          <w:rFonts w:ascii="仿宋_GB2312" w:eastAsia="仿宋_GB2312"/>
          <w:sz w:val="32"/>
          <w:szCs w:val="32"/>
        </w:rPr>
      </w:pPr>
      <w:r>
        <w:rPr>
          <w:rFonts w:hint="eastAsia" w:ascii="仿宋_GB2312" w:eastAsia="仿宋_GB2312"/>
          <w:sz w:val="32"/>
          <w:szCs w:val="32"/>
        </w:rPr>
        <w:t>4．整治建成区黑臭水体。采取控源截污、垃圾清理、清淤疏浚、生态修复等措施，加大黑臭水体治理力度。每半年向社会公布治理情况。2017年底前向社会公布本地区黑臭水体整治计划，并接受公众监督。自2018年起，每季度第一个月将本地区上季度黑臭水体整治情况报送市住建局；到2016年底，城镇建成区实现河面无大面积漂浮物、河岸无垃圾、无违法排污口；2018年底前完成黑臭水体治理目标。（</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牵头，</w:t>
      </w:r>
      <w:r>
        <w:rPr>
          <w:rFonts w:hint="eastAsia" w:ascii="仿宋_GB2312" w:hAnsi="Arial" w:eastAsia="仿宋_GB2312" w:cs="Arial"/>
          <w:kern w:val="0"/>
          <w:sz w:val="32"/>
          <w:szCs w:val="32"/>
        </w:rPr>
        <w:t>区综合行政执法局</w:t>
      </w:r>
      <w:r>
        <w:rPr>
          <w:rFonts w:hint="eastAsia" w:ascii="仿宋_GB2312" w:eastAsia="仿宋_GB2312"/>
          <w:sz w:val="32"/>
          <w:szCs w:val="32"/>
        </w:rPr>
        <w:t>、市环保局高新分局、区农村事务局等参与）</w:t>
      </w:r>
    </w:p>
    <w:p w14:paraId="53E3F143">
      <w:pPr>
        <w:spacing w:line="590" w:lineRule="exact"/>
        <w:ind w:firstLine="640" w:firstLineChars="200"/>
        <w:rPr>
          <w:rFonts w:ascii="仿宋_GB2312" w:eastAsia="仿宋_GB2312"/>
          <w:sz w:val="32"/>
          <w:szCs w:val="32"/>
        </w:rPr>
      </w:pPr>
      <w:r>
        <w:rPr>
          <w:rFonts w:hint="eastAsia" w:ascii="仿宋_GB2312" w:eastAsia="仿宋_GB2312"/>
          <w:sz w:val="32"/>
          <w:szCs w:val="32"/>
        </w:rPr>
        <w:t>5．保护水和生态系统。科学划定生态保护红线。强化森林和湿地资源保护管理，构建生态安全屏障。构建山地丘陵区绿色生态屏障，加大生态公益林建设力度，建设水源涵养林、水土保持林。推进林分改造工程，推广优良乡土阔叶树种，切实改造低产林、低效林。加强水源涵养林及水土保持林建设，优化自然保护区结构和空间布局，推动流域建立类型齐全、分布合理、面积适宜、建设和管理科学、生态效益良好的自然保护区体系。（区农村事务局牵头，市国土资源局高新区分局、市环保局高新分局、</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等参与）</w:t>
      </w:r>
    </w:p>
    <w:p w14:paraId="207ECE66">
      <w:pPr>
        <w:spacing w:line="590" w:lineRule="exact"/>
        <w:ind w:firstLine="640" w:firstLineChars="200"/>
        <w:rPr>
          <w:rFonts w:ascii="仿宋_GB2312" w:eastAsia="仿宋_GB2312"/>
          <w:sz w:val="32"/>
          <w:szCs w:val="32"/>
        </w:rPr>
      </w:pPr>
      <w:r>
        <w:rPr>
          <w:rFonts w:hint="eastAsia" w:ascii="仿宋_GB2312" w:eastAsia="仿宋_GB2312"/>
          <w:sz w:val="32"/>
          <w:szCs w:val="32"/>
        </w:rPr>
        <w:t>加大水土流失治理力度。积极利用工程、生物和水土保持耕作等多种措施开展流域水土流失综合治理，根据土壤侵蚀敏感性程度，合理安排水土流失治理时序。（</w:t>
      </w:r>
      <w:r>
        <w:rPr>
          <w:rFonts w:hint="eastAsia" w:ascii="仿宋_GB2312" w:hAnsi="仿宋_GB2312" w:eastAsia="仿宋_GB2312" w:cs="仿宋_GB2312"/>
          <w:sz w:val="32"/>
          <w:szCs w:val="32"/>
        </w:rPr>
        <w:t>区农村事务局</w:t>
      </w:r>
      <w:r>
        <w:rPr>
          <w:rFonts w:hint="eastAsia" w:ascii="仿宋_GB2312" w:eastAsia="仿宋_GB2312"/>
          <w:sz w:val="32"/>
          <w:szCs w:val="32"/>
        </w:rPr>
        <w:t>牵头，市国土资源局高新区分局、市环保局高新分局等参与）</w:t>
      </w:r>
    </w:p>
    <w:p w14:paraId="3DA9C36D">
      <w:pPr>
        <w:spacing w:line="590" w:lineRule="exact"/>
        <w:ind w:firstLine="640" w:firstLineChars="200"/>
        <w:rPr>
          <w:rFonts w:ascii="仿宋_GB2312" w:eastAsia="仿宋_GB2312"/>
          <w:sz w:val="32"/>
          <w:szCs w:val="32"/>
        </w:rPr>
      </w:pPr>
      <w:r>
        <w:rPr>
          <w:rFonts w:hint="eastAsia" w:ascii="仿宋_GB2312" w:eastAsia="仿宋_GB2312"/>
          <w:sz w:val="32"/>
          <w:szCs w:val="32"/>
        </w:rPr>
        <w:t>禁止侵占自然湿地等水源涵养空间，已侵占的要限期予以恢复。开展湿地保护与修复，加大退耕还林、还草、还湿力度。加强生态公益林建设、保护和管理，将饮用水源保护区、主要供水通道和重要水库集雨区范围内的林地逐步纳入生态公益林范畴，到2020年生态公益林占林业用地面积的比例力争达到45%以上；构建水网连通、景观特色鲜明的湿地公园网络。加大水产种质资源保护区保护力度，开展珍稀濒危水生生物和重要水产种质资源的就地和迁地保护，提高水生生物多样性。（区农村事务局牵头，市环保局高新分局、区财政局、市国土资源局高新区分局、</w:t>
      </w:r>
      <w:r>
        <w:rPr>
          <w:rFonts w:hint="eastAsia" w:ascii="仿宋_GB2312" w:hAnsi="Arial" w:eastAsia="仿宋_GB2312" w:cs="Arial"/>
          <w:kern w:val="0"/>
          <w:sz w:val="32"/>
          <w:szCs w:val="32"/>
        </w:rPr>
        <w:t>区规划建设和交通局</w:t>
      </w:r>
      <w:r>
        <w:rPr>
          <w:rFonts w:hint="eastAsia" w:ascii="仿宋_GB2312" w:eastAsia="仿宋_GB2312"/>
          <w:sz w:val="32"/>
          <w:szCs w:val="32"/>
        </w:rPr>
        <w:t>等参与）</w:t>
      </w:r>
    </w:p>
    <w:p w14:paraId="072C9685">
      <w:pPr>
        <w:spacing w:line="590" w:lineRule="exact"/>
        <w:ind w:firstLine="640" w:firstLineChars="200"/>
        <w:rPr>
          <w:rFonts w:ascii="仿宋_GB2312" w:eastAsia="仿宋_GB2312"/>
        </w:rPr>
      </w:pPr>
      <w:r>
        <w:rPr>
          <w:rFonts w:hint="eastAsia" w:ascii="仿宋_GB2312" w:eastAsia="仿宋_GB2312"/>
          <w:sz w:val="32"/>
          <w:szCs w:val="32"/>
        </w:rPr>
        <w:t>保护海洋生态。合理规划近岸海域发展布局，完善近海地区环境基础设施建设，加强陆源污染物控制，促进近岸海域生态环境质量和生物多样性恢复。大力加强沿海滩涂红树林、沿海基干林带及沿海地区纵深防护林建设，全面提高沿海防护林整体建设水平，加大红树林、珊瑚礁、海草床等滨海湿地、河口和海湾典型生态系统，以及产卵场、索饵场、越冬场、洄游通道等重要渔业水域的保护力度，建设沿海防护林、保护与恢复红树林，实施增殖放流，建设人工鱼礁。开展海洋生态补偿及赔偿等研究，实施海洋生态修复。认真执行围填海管制计划，严格围填海管理和监督，重点海湾、海洋自然保护区的核心区及缓冲区、海洋特别保护区的重点保护区及预留区、重点河口区域、重要滨海湿地区域、重要砂质岸线及沙源保护海域、特殊保护海岛及重要渔业海域禁止实施围填海，生态脆弱敏感区、自净能力差的海域严格限制围填海。将自然海岸线保护纳入部门政绩考核，严肃查处违法围填海行为，追究相关人员责任。（区农村事务局、市环保局高新分局牵头，区经发局、区财政局等参与）</w:t>
      </w:r>
    </w:p>
    <w:p w14:paraId="788A79D4">
      <w:pPr>
        <w:pStyle w:val="3"/>
        <w:spacing w:before="156" w:after="156"/>
        <w:ind w:firstLine="710"/>
      </w:pPr>
      <w:bookmarkStart w:id="10" w:name="_Toc491959428"/>
      <w:r>
        <w:rPr>
          <w:rFonts w:hint="eastAsia"/>
        </w:rPr>
        <w:t>（五）严格环境执法监管</w:t>
      </w:r>
      <w:bookmarkEnd w:id="10"/>
    </w:p>
    <w:p w14:paraId="623FAD38">
      <w:pPr>
        <w:pStyle w:val="44"/>
        <w:ind w:firstLine="567"/>
        <w:rPr>
          <w:rFonts w:ascii="仿宋_GB2312" w:hAnsi="Calibri" w:eastAsia="仿宋_GB2312"/>
          <w:kern w:val="2"/>
        </w:rPr>
      </w:pPr>
      <w:r>
        <w:rPr>
          <w:rFonts w:hint="eastAsia" w:ascii="仿宋_GB2312" w:hAnsi="Calibri" w:eastAsia="仿宋_GB2312"/>
          <w:kern w:val="2"/>
        </w:rPr>
        <w:t>1．完善法规体系。根据上级政府部署要求，完善治污河长制、水污染损害赔偿与生态补偿、流域联防联治、污染物排放权交易等机制，推行一级水源保护区土地征用、二级水源保护区土地租用、水源涵养区生态补偿、聘用水源保护专管员模式。强化环境司法保障，建立完善行政执法与刑事司法衔接制度。（区党政办法制办</w:t>
      </w:r>
      <w:r>
        <w:rPr>
          <w:rFonts w:hint="eastAsia" w:ascii="仿宋_GB2312" w:hAnsi="Calibri" w:eastAsia="仿宋_GB2312"/>
          <w:kern w:val="2"/>
          <w:lang w:eastAsia="zh-CN"/>
        </w:rPr>
        <w:t>、区综合行政执法局</w:t>
      </w:r>
      <w:r>
        <w:rPr>
          <w:rFonts w:hint="eastAsia" w:ascii="仿宋_GB2312" w:hAnsi="Calibri" w:eastAsia="仿宋_GB2312"/>
          <w:kern w:val="2"/>
        </w:rPr>
        <w:t>牵头，区经发局、</w:t>
      </w:r>
      <w:r>
        <w:rPr>
          <w:rFonts w:hint="eastAsia" w:ascii="仿宋_GB2312" w:eastAsia="仿宋_GB2312"/>
        </w:rPr>
        <w:t>市环保局高新分局、市</w:t>
      </w:r>
      <w:r>
        <w:rPr>
          <w:rFonts w:hint="eastAsia" w:ascii="仿宋_GB2312" w:hAnsi="Calibri" w:eastAsia="仿宋_GB2312"/>
          <w:kern w:val="2"/>
        </w:rPr>
        <w:t>国土资源局高新区分局、</w:t>
      </w:r>
      <w:r>
        <w:rPr>
          <w:rFonts w:hint="eastAsia" w:ascii="仿宋_GB2312" w:hAnsi="Arial" w:eastAsia="仿宋_GB2312" w:cs="Arial"/>
        </w:rPr>
        <w:t>区规划建设和交通局、区农村事务局</w:t>
      </w:r>
      <w:r>
        <w:rPr>
          <w:rFonts w:hint="eastAsia" w:ascii="仿宋_GB2312" w:hAnsi="Calibri" w:eastAsia="仿宋_GB2312"/>
          <w:kern w:val="2"/>
        </w:rPr>
        <w:t>等参与）</w:t>
      </w:r>
    </w:p>
    <w:p w14:paraId="00F1792D">
      <w:pPr>
        <w:pStyle w:val="44"/>
        <w:ind w:firstLine="420"/>
        <w:rPr>
          <w:rFonts w:ascii="仿宋_GB2312" w:hAnsi="Calibri" w:eastAsia="仿宋_GB2312"/>
          <w:kern w:val="2"/>
        </w:rPr>
      </w:pPr>
      <w:r>
        <w:rPr>
          <w:rFonts w:hint="eastAsia" w:ascii="仿宋_GB2312" w:hAnsi="Calibri" w:eastAsia="仿宋_GB2312"/>
          <w:kern w:val="2"/>
        </w:rPr>
        <w:t>2.加大执法力度。所有排污单位必须依法实现全面达标排放。逐一排查工业企业排污情况，列出超标和超总量排放企业清单。进一步完善重点污染源环境信用评价制度，对超标和超总量的企业予以“黄牌”警示，一律限制生产或停产整治；对限期整治仍不能达到要求且情节严重的企业予以“红牌”处罚，一律停业、关闭。自2017 年起，定期公布环保“黄牌”、“红牌”企业名单。每年抽查排污单位达标排放情况，结果向社会公布。（市环保局高新分局</w:t>
      </w:r>
      <w:r>
        <w:rPr>
          <w:rFonts w:hint="eastAsia" w:ascii="仿宋_GB2312" w:hAnsi="Calibri" w:eastAsia="仿宋_GB2312"/>
          <w:kern w:val="2"/>
          <w:lang w:eastAsia="zh-CN"/>
        </w:rPr>
        <w:t>、</w:t>
      </w:r>
      <w:r>
        <w:rPr>
          <w:rFonts w:hint="eastAsia" w:ascii="仿宋_GB2312" w:hAnsi="Calibri" w:eastAsia="仿宋_GB2312"/>
          <w:kern w:val="2"/>
        </w:rPr>
        <w:t>区综合行政执法局牵头，区经发局、</w:t>
      </w:r>
      <w:r>
        <w:rPr>
          <w:rFonts w:hint="eastAsia" w:ascii="仿宋_GB2312" w:eastAsia="仿宋_GB2312"/>
        </w:rPr>
        <w:t>市</w:t>
      </w:r>
      <w:r>
        <w:rPr>
          <w:rFonts w:hint="eastAsia" w:ascii="仿宋_GB2312" w:hAnsi="Calibri" w:eastAsia="仿宋_GB2312"/>
          <w:kern w:val="2"/>
        </w:rPr>
        <w:t xml:space="preserve">公安局高新分局、区组织人事局等参与） </w:t>
      </w:r>
    </w:p>
    <w:p w14:paraId="230EDEAA">
      <w:pPr>
        <w:pStyle w:val="44"/>
        <w:ind w:firstLine="709"/>
        <w:rPr>
          <w:rFonts w:ascii="仿宋_GB2312" w:hAnsi="Calibri" w:eastAsia="仿宋_GB2312"/>
          <w:kern w:val="2"/>
        </w:rPr>
      </w:pPr>
      <w:r>
        <w:rPr>
          <w:rFonts w:hint="eastAsia" w:ascii="仿宋_GB2312" w:hAnsi="Calibri" w:eastAsia="仿宋_GB2312"/>
          <w:kern w:val="2"/>
        </w:rPr>
        <w:t>完善</w:t>
      </w:r>
      <w:r>
        <w:rPr>
          <w:rFonts w:hint="eastAsia" w:ascii="仿宋_GB2312" w:hAnsi="Calibri" w:eastAsia="仿宋_GB2312"/>
          <w:kern w:val="2"/>
          <w:lang w:eastAsia="zh-CN"/>
        </w:rPr>
        <w:t>区</w:t>
      </w:r>
      <w:r>
        <w:rPr>
          <w:rFonts w:hint="eastAsia" w:ascii="仿宋_GB2312" w:hAnsi="Calibri" w:eastAsia="仿宋_GB2312"/>
          <w:kern w:val="2"/>
        </w:rPr>
        <w:t>级自查的环境监督执法制度。强化环保、执法、公安、监察等部门和单位协作，建立环保、执法与公安执法联动机制，健全行政执法与刑事司法衔接配合机制，完善案件移送、受理、立案、通报等规定。探索移动执法试点。（市环保局高新分局</w:t>
      </w:r>
      <w:r>
        <w:rPr>
          <w:rFonts w:hint="eastAsia" w:ascii="仿宋_GB2312" w:hAnsi="Calibri" w:eastAsia="仿宋_GB2312"/>
          <w:kern w:val="2"/>
          <w:lang w:eastAsia="zh-CN"/>
        </w:rPr>
        <w:t>、</w:t>
      </w:r>
      <w:r>
        <w:rPr>
          <w:rFonts w:hint="eastAsia" w:ascii="仿宋_GB2312" w:hAnsi="Calibri" w:eastAsia="仿宋_GB2312"/>
          <w:kern w:val="2"/>
        </w:rPr>
        <w:t>区综合行政执法局牵头，区经发局、</w:t>
      </w:r>
      <w:r>
        <w:rPr>
          <w:rFonts w:hint="eastAsia" w:ascii="仿宋_GB2312" w:eastAsia="仿宋_GB2312"/>
        </w:rPr>
        <w:t>市</w:t>
      </w:r>
      <w:r>
        <w:rPr>
          <w:rFonts w:hint="eastAsia" w:ascii="仿宋_GB2312" w:hAnsi="Calibri" w:eastAsia="仿宋_GB2312"/>
          <w:kern w:val="2"/>
        </w:rPr>
        <w:t xml:space="preserve">公安局高新分局、区组织人事局等参与） </w:t>
      </w:r>
    </w:p>
    <w:p w14:paraId="38B30C24">
      <w:pPr>
        <w:pStyle w:val="44"/>
        <w:ind w:firstLine="709"/>
        <w:rPr>
          <w:rFonts w:ascii="仿宋_GB2312" w:hAnsi="Calibri" w:eastAsia="仿宋_GB2312"/>
          <w:kern w:val="2"/>
        </w:rPr>
      </w:pPr>
      <w:r>
        <w:rPr>
          <w:rFonts w:hint="eastAsia" w:ascii="仿宋_GB2312" w:hAnsi="Calibri" w:eastAsia="仿宋_GB2312"/>
          <w:kern w:val="2"/>
        </w:rPr>
        <w:t>严厉打击环境违法行为。继续实施重点环境问题和重点污染源挂牌督办制度，每年开展环保执法专项行动，定期开展联合专项行动，对重点片区水污染企业进行整治。重点打击私设暗管或利用渗井、渗坑、溶洞排放、倾倒含有毒有害污染物废水、含病原体污水，监测数据弄虚作假，不正常使用水污染物处理设施，或者未经批准拆除、闲置水污染物处理设施等环境违法行为。对造成生态损害的责任者严格落实赔偿制度。严肃查处建设项目环境影响评价领域越权审批、未批先建、边批边建、久试不验等违法违规行为。对构成犯罪的，依法追究刑事责任。（市环保局高新分局</w:t>
      </w:r>
      <w:r>
        <w:rPr>
          <w:rFonts w:hint="eastAsia" w:ascii="仿宋_GB2312" w:hAnsi="Calibri" w:eastAsia="仿宋_GB2312"/>
          <w:kern w:val="2"/>
          <w:lang w:eastAsia="zh-CN"/>
        </w:rPr>
        <w:t>、</w:t>
      </w:r>
      <w:r>
        <w:rPr>
          <w:rFonts w:hint="eastAsia" w:ascii="仿宋_GB2312" w:hAnsi="Calibri" w:eastAsia="仿宋_GB2312"/>
          <w:kern w:val="2"/>
        </w:rPr>
        <w:t>区综合行政执法局牵头，市公安局高新分局、</w:t>
      </w:r>
      <w:r>
        <w:rPr>
          <w:rFonts w:hint="eastAsia" w:ascii="仿宋_GB2312" w:hAnsi="Arial" w:eastAsia="仿宋_GB2312" w:cs="Arial"/>
        </w:rPr>
        <w:t>区规划建设和交通局</w:t>
      </w:r>
      <w:r>
        <w:rPr>
          <w:rFonts w:hint="eastAsia" w:ascii="仿宋_GB2312" w:hAnsi="Calibri" w:eastAsia="仿宋_GB2312"/>
          <w:kern w:val="2"/>
        </w:rPr>
        <w:t xml:space="preserve">等参与） </w:t>
      </w:r>
    </w:p>
    <w:p w14:paraId="2331C7C3">
      <w:pPr>
        <w:pStyle w:val="44"/>
        <w:ind w:firstLine="709"/>
        <w:rPr>
          <w:rFonts w:ascii="仿宋_GB2312" w:hAnsi="Calibri" w:eastAsia="仿宋_GB2312"/>
          <w:kern w:val="2"/>
        </w:rPr>
      </w:pPr>
      <w:r>
        <w:rPr>
          <w:rFonts w:hint="eastAsia" w:ascii="仿宋_GB2312" w:hAnsi="Calibri" w:eastAsia="仿宋_GB2312"/>
          <w:kern w:val="2"/>
        </w:rPr>
        <w:t>3.提升监管水平。完善水环境监测网络，统一规划设置监测断面（点位）。2020年前开展至少一次覆盖全区水环境功能区的水质监测与评价。2020年底前，配合市环保局，建立统一的阳江市水环境信息对外发布网络和平台，实现重点流域水环境信息、重点污染源信息、饮用水水源信息多渠道、多形式发布。（市环保局高新分局牵头，区经发局、区农村事务局、市国土局高新区分局、</w:t>
      </w:r>
      <w:r>
        <w:rPr>
          <w:rFonts w:hint="eastAsia" w:ascii="仿宋_GB2312" w:hAnsi="Arial" w:eastAsia="仿宋_GB2312" w:cs="Arial"/>
        </w:rPr>
        <w:t>区规划建设和交通局</w:t>
      </w:r>
      <w:r>
        <w:rPr>
          <w:rFonts w:hint="eastAsia" w:ascii="仿宋_GB2312" w:hAnsi="Calibri" w:eastAsia="仿宋_GB2312"/>
          <w:kern w:val="2"/>
        </w:rPr>
        <w:t xml:space="preserve">等参与） </w:t>
      </w:r>
    </w:p>
    <w:p w14:paraId="78294F81">
      <w:pPr>
        <w:pStyle w:val="44"/>
        <w:ind w:firstLine="709"/>
        <w:rPr>
          <w:rFonts w:ascii="仿宋_GB2312" w:hAnsi="Calibri" w:eastAsia="仿宋_GB2312"/>
          <w:kern w:val="2"/>
        </w:rPr>
      </w:pPr>
      <w:r>
        <w:rPr>
          <w:rFonts w:hint="eastAsia" w:ascii="仿宋_GB2312" w:hAnsi="Calibri" w:eastAsia="仿宋_GB2312"/>
          <w:kern w:val="2"/>
        </w:rPr>
        <w:t>提高环境监管能力。加强环境监测、环境监察、环境应急等专业技术培训，严格落实执法、监测等人员持证上岗制度。到2016年底，建成达到一级标准的环境监察机构和队伍，各建制镇和工业园区应设置环境保护机构，配备专职环境监察人员。应自2016年起实行环境监管网格化管理。（市环保局高新分局、区综合行政执法局、区组织人事局参与）</w:t>
      </w:r>
    </w:p>
    <w:p w14:paraId="33AA69F9">
      <w:pPr>
        <w:pStyle w:val="3"/>
        <w:spacing w:before="156" w:after="156"/>
        <w:ind w:firstLine="710"/>
      </w:pPr>
      <w:bookmarkStart w:id="11" w:name="_Toc491959429"/>
      <w:r>
        <w:rPr>
          <w:rFonts w:hint="eastAsia"/>
        </w:rPr>
        <w:t>（六）切实加强水环境管理</w:t>
      </w:r>
      <w:bookmarkEnd w:id="11"/>
    </w:p>
    <w:p w14:paraId="4BA8AD6A">
      <w:pPr>
        <w:pStyle w:val="44"/>
        <w:ind w:firstLine="709"/>
        <w:rPr>
          <w:rFonts w:ascii="仿宋_GB2312" w:hAnsi="Calibri" w:eastAsia="仿宋_GB2312"/>
          <w:kern w:val="2"/>
        </w:rPr>
      </w:pPr>
      <w:r>
        <w:rPr>
          <w:rFonts w:hint="eastAsia" w:ascii="仿宋_GB2312" w:hAnsi="Calibri" w:eastAsia="仿宋_GB2312"/>
          <w:kern w:val="2"/>
        </w:rPr>
        <w:t xml:space="preserve">1. 强化环境质量目标管理。2015年底前，明确行政区域内地表水、近岸海域等水体控制断面（点）及其水质保护目标，采用近三年监测资料逐一排查达标状况，列出未达标水体清单。制定未达标水体达标方案，将治污任务逐一落实到汇水范围内的排污单位，明确防治措施及达标时限，方案报政府备案。自2016年起，定期向社会公布未达标水体水质达标方案。对水质不达标区域实施挂牌督办，必要时采取区域限批等措施。（市环保局高新分局、区农村事务局） </w:t>
      </w:r>
    </w:p>
    <w:p w14:paraId="50A69A5E">
      <w:pPr>
        <w:pStyle w:val="44"/>
        <w:ind w:firstLine="709"/>
        <w:rPr>
          <w:rFonts w:ascii="仿宋_GB2312" w:hAnsi="Calibri" w:eastAsia="仿宋_GB2312"/>
          <w:kern w:val="2"/>
        </w:rPr>
      </w:pPr>
      <w:r>
        <w:rPr>
          <w:rFonts w:hint="eastAsia" w:ascii="仿宋_GB2312" w:hAnsi="Calibri" w:eastAsia="仿宋_GB2312"/>
          <w:kern w:val="2"/>
        </w:rPr>
        <w:t>2. 深化污染物排放总量控制。完善污染物统计监测体系，将工业、城镇生活、农业、移动源等各类污染源纳入调查范围。选择对水环境质量有突出影响的总氮、总磷等污染物，研究纳入直接入海河流污染物排放总量控制约束性指标。（市环保局高新分局牵头，区经发局、</w:t>
      </w:r>
      <w:r>
        <w:rPr>
          <w:rFonts w:hint="eastAsia" w:ascii="仿宋_GB2312" w:hAnsi="Arial" w:eastAsia="仿宋_GB2312" w:cs="Arial"/>
        </w:rPr>
        <w:t>区规划建设和交通局、区农村事务局</w:t>
      </w:r>
      <w:r>
        <w:rPr>
          <w:rFonts w:hint="eastAsia" w:ascii="仿宋_GB2312" w:hAnsi="Calibri" w:eastAsia="仿宋_GB2312"/>
          <w:kern w:val="2"/>
        </w:rPr>
        <w:t xml:space="preserve">等参与） </w:t>
      </w:r>
    </w:p>
    <w:p w14:paraId="1CA96225">
      <w:pPr>
        <w:pStyle w:val="44"/>
        <w:ind w:firstLine="709"/>
        <w:rPr>
          <w:rFonts w:ascii="仿宋_GB2312" w:hAnsi="Calibri" w:eastAsia="仿宋_GB2312"/>
          <w:kern w:val="2"/>
        </w:rPr>
      </w:pPr>
      <w:r>
        <w:rPr>
          <w:rFonts w:hint="eastAsia" w:ascii="仿宋_GB2312" w:hAnsi="Calibri" w:eastAsia="仿宋_GB2312"/>
          <w:kern w:val="2"/>
        </w:rPr>
        <w:t xml:space="preserve">3. 严格控制环境风险。积极防范环境风险。定期评估沿江河湖库工业企业、工业集聚区环境和健康风险，落实防控措施。评估现有化学物质环境和健康风险，2017年底前，根据阳江市公布优先控制化学品名录，对高风险化学品生产、使用进行严格限制，并逐步淘汰替代。（市环保局高新分局牵头，区经发局、区农村事务局、区安监局等参与） </w:t>
      </w:r>
    </w:p>
    <w:p w14:paraId="7A313596">
      <w:pPr>
        <w:pStyle w:val="44"/>
        <w:ind w:firstLine="709"/>
        <w:rPr>
          <w:rFonts w:ascii="仿宋_GB2312" w:hAnsi="Calibri" w:eastAsia="仿宋_GB2312"/>
          <w:kern w:val="2"/>
        </w:rPr>
      </w:pPr>
      <w:r>
        <w:rPr>
          <w:rFonts w:hint="eastAsia" w:ascii="仿宋_GB2312" w:hAnsi="Calibri" w:eastAsia="仿宋_GB2312"/>
          <w:kern w:val="2"/>
        </w:rPr>
        <w:t>稳妥处置突发水环境污染事件。要于2016年底前制定完善水污染事故处置应急预案，落实责任主体，明确预警预报与响应程序、应急处置及保障措施等内容，依法及时公布预警信息。（市环保局高新分局牵头，</w:t>
      </w:r>
      <w:r>
        <w:rPr>
          <w:rFonts w:hint="eastAsia" w:ascii="仿宋_GB2312" w:hAnsi="Arial" w:eastAsia="仿宋_GB2312" w:cs="Arial"/>
        </w:rPr>
        <w:t>区规划建设和交通局农村事务局</w:t>
      </w:r>
      <w:r>
        <w:rPr>
          <w:rFonts w:hint="eastAsia" w:ascii="仿宋_GB2312" w:hAnsi="Calibri" w:eastAsia="仿宋_GB2312"/>
          <w:kern w:val="2"/>
        </w:rPr>
        <w:t xml:space="preserve">参与） </w:t>
      </w:r>
    </w:p>
    <w:p w14:paraId="2DBE98EB">
      <w:pPr>
        <w:pStyle w:val="44"/>
        <w:ind w:firstLine="567"/>
        <w:rPr>
          <w:rFonts w:ascii="仿宋_GB2312" w:hAnsi="Calibri" w:eastAsia="仿宋_GB2312"/>
          <w:kern w:val="2"/>
        </w:rPr>
      </w:pPr>
      <w:r>
        <w:rPr>
          <w:rFonts w:hint="eastAsia" w:ascii="仿宋_GB2312" w:hAnsi="Calibri" w:eastAsia="仿宋_GB2312"/>
          <w:kern w:val="2"/>
        </w:rPr>
        <w:t>4.全面推行排污许可。依法核发排污许可证。2015年底前，完成国控重点污染源排污许可证的核发工作，其他污染源于2017年底前完成。（市环保局高新分局）</w:t>
      </w:r>
    </w:p>
    <w:p w14:paraId="540FF422">
      <w:pPr>
        <w:pStyle w:val="44"/>
        <w:ind w:firstLine="709"/>
        <w:rPr>
          <w:rFonts w:ascii="仿宋_GB2312" w:hAnsi="Calibri" w:eastAsia="仿宋_GB2312"/>
          <w:kern w:val="2"/>
        </w:rPr>
      </w:pPr>
      <w:r>
        <w:rPr>
          <w:rFonts w:hint="eastAsia" w:ascii="仿宋_GB2312" w:hAnsi="Calibri" w:eastAsia="仿宋_GB2312"/>
          <w:kern w:val="2"/>
        </w:rPr>
        <w:t>加强许可证管理。以改善水质、防范环境风险为目标，将污染物排放种类、浓度、总量、排放去向等纳入许可证管理范围。建立严厉的处罚和问责机制，禁止无证排污或不按许可证规定排污。排污单位应通过自行监测或委托第三方监测确保排污行为稳定达到许可证的要求。强化海上排污监管。2017年底前，完成全区排污许可证管理信息平台建设。（市环保局高新分局、</w:t>
      </w:r>
      <w:r>
        <w:rPr>
          <w:rFonts w:hint="eastAsia" w:ascii="仿宋_GB2312" w:hAnsi="Calibri" w:eastAsia="仿宋_GB2312"/>
          <w:kern w:val="2"/>
          <w:lang w:eastAsia="zh-CN"/>
        </w:rPr>
        <w:t>区综合行政执法局、</w:t>
      </w:r>
      <w:r>
        <w:rPr>
          <w:rFonts w:hint="eastAsia" w:ascii="仿宋_GB2312" w:hAnsi="Calibri" w:eastAsia="仿宋_GB2312"/>
          <w:kern w:val="2"/>
        </w:rPr>
        <w:t>区农村事务局</w:t>
      </w:r>
      <w:r>
        <w:rPr>
          <w:rFonts w:hint="eastAsia" w:ascii="仿宋_GB2312" w:hAnsi="Calibri" w:eastAsia="仿宋_GB2312"/>
          <w:kern w:val="2"/>
          <w:lang w:eastAsia="zh-CN"/>
        </w:rPr>
        <w:t>参与</w:t>
      </w:r>
      <w:r>
        <w:rPr>
          <w:rFonts w:hint="eastAsia" w:ascii="仿宋_GB2312" w:hAnsi="Calibri" w:eastAsia="仿宋_GB2312"/>
          <w:kern w:val="2"/>
        </w:rPr>
        <w:t xml:space="preserve">） </w:t>
      </w:r>
    </w:p>
    <w:p w14:paraId="6E783F8B">
      <w:pPr>
        <w:pStyle w:val="2"/>
        <w:ind w:firstLine="710" w:firstLineChars="221"/>
        <w:rPr>
          <w:rFonts w:ascii="仿宋_GB2312" w:eastAsia="仿宋_GB2312"/>
          <w:kern w:val="2"/>
        </w:rPr>
      </w:pPr>
      <w:bookmarkStart w:id="12" w:name="_Toc491959430"/>
      <w:r>
        <w:rPr>
          <w:rFonts w:hint="eastAsia" w:ascii="仿宋_GB2312" w:eastAsia="仿宋_GB2312"/>
          <w:kern w:val="2"/>
        </w:rPr>
        <w:t>三、保障措施</w:t>
      </w:r>
      <w:bookmarkEnd w:id="12"/>
    </w:p>
    <w:p w14:paraId="4A3360B9">
      <w:pPr>
        <w:pStyle w:val="3"/>
        <w:spacing w:before="156" w:after="156"/>
        <w:ind w:firstLine="710"/>
      </w:pPr>
      <w:r>
        <w:rPr>
          <w:rFonts w:hint="eastAsia"/>
        </w:rPr>
        <w:t> </w:t>
      </w:r>
      <w:bookmarkStart w:id="13" w:name="_Toc491959431"/>
      <w:r>
        <w:rPr>
          <w:rFonts w:hint="eastAsia"/>
        </w:rPr>
        <w:t>（一）强化组织领导，明确责任分工。</w:t>
      </w:r>
      <w:bookmarkEnd w:id="13"/>
    </w:p>
    <w:p w14:paraId="73F8161B">
      <w:pPr>
        <w:pStyle w:val="44"/>
        <w:ind w:firstLine="709"/>
        <w:rPr>
          <w:rFonts w:hint="eastAsia" w:ascii="仿宋_GB2312" w:hAnsi="Calibri" w:eastAsia="仿宋_GB2312"/>
          <w:kern w:val="2"/>
        </w:rPr>
      </w:pPr>
      <w:r>
        <w:rPr>
          <w:rFonts w:hint="eastAsia" w:ascii="仿宋_GB2312" w:hAnsi="Calibri" w:eastAsia="仿宋_GB2312"/>
          <w:kern w:val="2"/>
        </w:rPr>
        <w:t>成立阳江高新区水污染防治工作领导小组，负责研究解决水污染防治工作中的重大问题，制定考核评估办法并开展考核，指导、协调相关部门落实水污染防治责任，统一部署联防联控等工作。领导小组办公室设在市环保局高新分局，负责领导小组安排部署的工作、目标任务的督导落实，协调解决工作中存在的问题，对水污染防治工作的研判、会商和协调处置，以及领导小组的日常工作。各有关部门按照职责分工，各司其职，各负其责，加强协作联动，形成合力。（市环保局高新分局，区直有关部门驻区单位参与）</w:t>
      </w:r>
    </w:p>
    <w:p w14:paraId="3A82A485">
      <w:pPr>
        <w:pStyle w:val="44"/>
        <w:ind w:firstLine="709"/>
        <w:rPr>
          <w:rFonts w:ascii="仿宋_GB2312" w:hAnsi="Calibri" w:eastAsia="仿宋_GB2312"/>
          <w:kern w:val="2"/>
        </w:rPr>
      </w:pPr>
      <w:r>
        <w:rPr>
          <w:rFonts w:hint="eastAsia" w:ascii="仿宋_GB2312" w:hAnsi="Calibri" w:eastAsia="仿宋_GB2312"/>
          <w:kern w:val="2"/>
        </w:rPr>
        <w:t>高新区管委会为实施本方案的责任主体，区各部门根据《阳江高新区水污染防治工作实施方案》逐年确定行业重点任务和年度目标，逐级分解落实，完善政策措施，建立长效机制，加大资金投入，统筹城乡水污染治理设施建设，强化督导与监管，确保各项任务全面完成，并向社会公布。（市环保局高新分局，区直有关部门驻区单位参与）</w:t>
      </w:r>
    </w:p>
    <w:p w14:paraId="739253A1">
      <w:pPr>
        <w:pStyle w:val="44"/>
        <w:ind w:firstLine="709"/>
        <w:rPr>
          <w:rFonts w:ascii="仿宋_GB2312" w:hAnsi="Calibri" w:eastAsia="仿宋_GB2312"/>
          <w:kern w:val="2"/>
        </w:rPr>
      </w:pPr>
      <w:r>
        <w:rPr>
          <w:rFonts w:hint="eastAsia" w:ascii="仿宋_GB2312" w:hAnsi="Calibri" w:eastAsia="仿宋_GB2312"/>
          <w:kern w:val="2"/>
        </w:rPr>
        <w:t> 区直有关部门、驻区单位要按照《阳江市水污染防治工作实施方案》、《阳江高新区水污染防治工作实施方案》具体部署，根据各部门职责和分工，于2017年8月底前研究制定落实市、高新区水污染防治工作部署的实施方案并抓好实施，实施方案报区水污染防治工作领导小组办公室。（区直有关部门驻区相关单位牵头）</w:t>
      </w:r>
    </w:p>
    <w:p w14:paraId="7E6FD481">
      <w:pPr>
        <w:pStyle w:val="44"/>
        <w:ind w:firstLine="709"/>
        <w:rPr>
          <w:rFonts w:ascii="仿宋_GB2312" w:hAnsi="Calibri" w:eastAsia="仿宋_GB2312"/>
          <w:kern w:val="2"/>
        </w:rPr>
      </w:pPr>
      <w:r>
        <w:rPr>
          <w:rFonts w:hint="eastAsia" w:ascii="仿宋_GB2312" w:hAnsi="Calibri" w:eastAsia="仿宋_GB2312"/>
          <w:kern w:val="2"/>
        </w:rPr>
        <w:t> 企事业单位要严格落实环保法律、法规和规范要求，加强节水治污设施建设和运营维护管理，确保稳定达标排放，大力推进企业节水减污对标活动。（市环保局高新分局）</w:t>
      </w:r>
    </w:p>
    <w:p w14:paraId="068F033B">
      <w:pPr>
        <w:pStyle w:val="3"/>
        <w:spacing w:before="156" w:after="156"/>
        <w:ind w:firstLine="710"/>
      </w:pPr>
      <w:bookmarkStart w:id="14" w:name="_Toc491959432"/>
      <w:r>
        <w:rPr>
          <w:rFonts w:hint="eastAsia"/>
        </w:rPr>
        <w:t>（二）充分发挥市场机制作用</w:t>
      </w:r>
      <w:bookmarkEnd w:id="14"/>
    </w:p>
    <w:p w14:paraId="259869E5">
      <w:pPr>
        <w:pStyle w:val="44"/>
        <w:ind w:firstLine="707" w:firstLineChars="221"/>
        <w:rPr>
          <w:rFonts w:ascii="仿宋_GB2312" w:hAnsi="Calibri" w:eastAsia="仿宋_GB2312"/>
          <w:kern w:val="2"/>
        </w:rPr>
      </w:pPr>
      <w:r>
        <w:rPr>
          <w:rFonts w:hint="eastAsia" w:ascii="仿宋_GB2312" w:hAnsi="Calibri" w:eastAsia="仿宋_GB2312"/>
          <w:kern w:val="2"/>
        </w:rPr>
        <w:t>1.理顺价格税费。加快水价改革，于 2015 年底前全面实行居民阶梯水价制度，具备条件的建制镇也要积极推进。2020年底前，全面实行非居民用水超定额、超计划累进加价制度，对高耗水行业实行差别水价。深入推进农业水价综合改革。（区经发局牵头，区财政局、</w:t>
      </w:r>
      <w:r>
        <w:rPr>
          <w:rFonts w:hint="eastAsia" w:ascii="仿宋_GB2312" w:hAnsi="Arial" w:eastAsia="仿宋_GB2312" w:cs="Arial"/>
        </w:rPr>
        <w:t>区规划建设和交通局</w:t>
      </w:r>
      <w:r>
        <w:rPr>
          <w:rFonts w:hint="eastAsia" w:ascii="仿宋_GB2312" w:hAnsi="Calibri" w:eastAsia="仿宋_GB2312"/>
          <w:kern w:val="2"/>
        </w:rPr>
        <w:t>、</w:t>
      </w:r>
      <w:r>
        <w:rPr>
          <w:rFonts w:hint="eastAsia" w:ascii="仿宋_GB2312" w:hAnsi="仿宋_GB2312" w:eastAsia="仿宋_GB2312" w:cs="仿宋_GB2312"/>
        </w:rPr>
        <w:t>区农村事务局</w:t>
      </w:r>
      <w:r>
        <w:rPr>
          <w:rFonts w:hint="eastAsia" w:ascii="仿宋_GB2312" w:hAnsi="Calibri" w:eastAsia="仿宋_GB2312"/>
          <w:kern w:val="2"/>
        </w:rPr>
        <w:t>等参与）</w:t>
      </w:r>
    </w:p>
    <w:p w14:paraId="78203DF5">
      <w:pPr>
        <w:pStyle w:val="44"/>
        <w:ind w:firstLine="709"/>
        <w:rPr>
          <w:rFonts w:ascii="仿宋_GB2312" w:hAnsi="Calibri" w:eastAsia="仿宋_GB2312"/>
          <w:kern w:val="2"/>
        </w:rPr>
      </w:pPr>
      <w:r>
        <w:rPr>
          <w:rFonts w:hint="eastAsia" w:ascii="仿宋_GB2312" w:hAnsi="Calibri" w:eastAsia="仿宋_GB2312"/>
          <w:kern w:val="2"/>
        </w:rPr>
        <w:t>完善收费政策。2016年底前，修订城镇污水处理费，并适当提高征收标准。结合“村村通”自来水工程建设，扩大污水、垃圾处理费征收范围，做到应收尽收。城镇污水处理收费标准不应低于污水处理和污泥处理处置成本。地下水水资源费征收标准应高于地表水，超采地区地下水水资源费征收标准应高于非超采地区。积极研究和依法落实环境保护、节能节水、资源综合利用等方面税收优惠政策。（</w:t>
      </w:r>
      <w:r>
        <w:rPr>
          <w:rFonts w:hint="eastAsia" w:ascii="仿宋_GB2312" w:hAnsi="Arial" w:eastAsia="仿宋_GB2312" w:cs="Arial"/>
        </w:rPr>
        <w:t>区规划建设和交通局、</w:t>
      </w:r>
      <w:r>
        <w:rPr>
          <w:rFonts w:hint="eastAsia" w:ascii="仿宋_GB2312" w:eastAsia="仿宋_GB2312"/>
        </w:rPr>
        <w:t>区</w:t>
      </w:r>
      <w:r>
        <w:rPr>
          <w:rFonts w:hint="eastAsia" w:ascii="仿宋_GB2312" w:hAnsi="Calibri" w:eastAsia="仿宋_GB2312"/>
          <w:kern w:val="2"/>
        </w:rPr>
        <w:t>财政局牵头，区经发局、</w:t>
      </w:r>
      <w:r>
        <w:rPr>
          <w:rFonts w:hint="eastAsia" w:ascii="仿宋_GB2312" w:eastAsia="仿宋_GB2312"/>
        </w:rPr>
        <w:t>市</w:t>
      </w:r>
      <w:r>
        <w:rPr>
          <w:rFonts w:hint="eastAsia" w:ascii="仿宋_GB2312" w:hAnsi="Calibri" w:eastAsia="仿宋_GB2312"/>
          <w:kern w:val="2"/>
        </w:rPr>
        <w:t>环保局高新分局、</w:t>
      </w:r>
      <w:r>
        <w:rPr>
          <w:rFonts w:hint="eastAsia" w:ascii="仿宋_GB2312" w:hAnsi="仿宋_GB2312" w:eastAsia="仿宋_GB2312" w:cs="仿宋_GB2312"/>
        </w:rPr>
        <w:t>区农村事务局</w:t>
      </w:r>
      <w:r>
        <w:rPr>
          <w:rFonts w:hint="eastAsia" w:ascii="仿宋_GB2312" w:hAnsi="Calibri" w:eastAsia="仿宋_GB2312"/>
          <w:kern w:val="2"/>
        </w:rPr>
        <w:t xml:space="preserve">等参与） </w:t>
      </w:r>
    </w:p>
    <w:p w14:paraId="2310E8A0">
      <w:pPr>
        <w:pStyle w:val="44"/>
        <w:ind w:firstLine="709"/>
        <w:rPr>
          <w:rFonts w:ascii="仿宋_GB2312" w:hAnsi="Calibri" w:eastAsia="仿宋_GB2312"/>
          <w:kern w:val="2"/>
        </w:rPr>
      </w:pPr>
      <w:r>
        <w:rPr>
          <w:rFonts w:hint="eastAsia" w:ascii="仿宋_GB2312" w:hAnsi="Calibri" w:eastAsia="仿宋_GB2312"/>
          <w:kern w:val="2"/>
        </w:rPr>
        <w:t>2. 促进多元融资。拓宽投融资渠道，鼓励社会资本、港澳台及国外资金以 PPP（政府与社会资本合作）等模式投入水环境保护。积极推动设立融资担保基金，推进环保设备融资租赁业务发展。推进环保基础设施资产的整合优化，逐步实现相关资产的证券化。推广股权、项目收益权、特许经营权、排污权等质押融资担保。采取环境绩效合同服务、授予开发经营权益等方式，鼓励社会资本投入水环境保护。统筹流域综合开发与环境治理，推广“水环境治理、土地整备与开发、投融资”三位一体的流域治理新模式，实现土地升值、人居环境改善和城区建设品味提升。鼓励乡贤与企业家捐建水污染治理设施。（区财政局、区经发牵头，</w:t>
      </w:r>
      <w:r>
        <w:rPr>
          <w:rFonts w:hint="eastAsia" w:ascii="仿宋_GB2312" w:hAnsi="Arial" w:eastAsia="仿宋_GB2312" w:cs="Arial"/>
        </w:rPr>
        <w:t>区规划建设和交通局、</w:t>
      </w:r>
      <w:r>
        <w:rPr>
          <w:rFonts w:hint="eastAsia" w:ascii="仿宋_GB2312" w:hAnsi="Calibri" w:eastAsia="仿宋_GB2312"/>
          <w:kern w:val="2"/>
        </w:rPr>
        <w:t>市环保局高新分局</w:t>
      </w:r>
      <w:r>
        <w:rPr>
          <w:rFonts w:hint="eastAsia" w:ascii="仿宋_GB2312" w:hAnsi="Calibri" w:eastAsia="仿宋_GB2312"/>
          <w:kern w:val="2"/>
          <w:lang w:eastAsia="zh-CN"/>
        </w:rPr>
        <w:t>、区农村事务局</w:t>
      </w:r>
      <w:r>
        <w:rPr>
          <w:rFonts w:hint="eastAsia" w:ascii="仿宋_GB2312" w:hAnsi="Calibri" w:eastAsia="仿宋_GB2312"/>
          <w:kern w:val="2"/>
        </w:rPr>
        <w:t xml:space="preserve">等参与） </w:t>
      </w:r>
    </w:p>
    <w:p w14:paraId="2499D1D4">
      <w:pPr>
        <w:pStyle w:val="44"/>
        <w:ind w:firstLine="709"/>
        <w:rPr>
          <w:rFonts w:ascii="仿宋_GB2312" w:hAnsi="Calibri" w:eastAsia="仿宋_GB2312"/>
          <w:kern w:val="2"/>
        </w:rPr>
      </w:pPr>
      <w:r>
        <w:rPr>
          <w:rFonts w:hint="eastAsia" w:ascii="仿宋_GB2312" w:hAnsi="Calibri" w:eastAsia="仿宋_GB2312"/>
          <w:kern w:val="2"/>
        </w:rPr>
        <w:t>3. 切实加大资金投入。增加政府资金投入，重点支持污水处理、污泥处理处置、河道整治、饮用水水源保护、畜禽养殖污染防治、水生态修复、应急清污等项目和工作。对环境监管能力建设及运行费用分级予以必要保障。（区财政局牵头，</w:t>
      </w:r>
      <w:r>
        <w:rPr>
          <w:rFonts w:hint="eastAsia" w:ascii="仿宋_GB2312" w:hAnsi="Calibri" w:eastAsia="仿宋_GB2312"/>
          <w:kern w:val="2"/>
          <w:lang w:eastAsia="zh-CN"/>
        </w:rPr>
        <w:t>区规划建设和交通局、区农村事务局、</w:t>
      </w:r>
      <w:r>
        <w:rPr>
          <w:rFonts w:hint="eastAsia" w:ascii="仿宋_GB2312" w:hAnsi="Calibri" w:eastAsia="仿宋_GB2312"/>
          <w:kern w:val="2"/>
        </w:rPr>
        <w:t>区经发局、</w:t>
      </w:r>
      <w:r>
        <w:rPr>
          <w:rFonts w:hint="eastAsia" w:ascii="仿宋_GB2312" w:eastAsia="仿宋_GB2312"/>
        </w:rPr>
        <w:t>市</w:t>
      </w:r>
      <w:r>
        <w:rPr>
          <w:rFonts w:hint="eastAsia" w:ascii="仿宋_GB2312" w:hAnsi="Calibri" w:eastAsia="仿宋_GB2312"/>
          <w:kern w:val="2"/>
        </w:rPr>
        <w:t xml:space="preserve">环保局高新分局等参与） </w:t>
      </w:r>
    </w:p>
    <w:p w14:paraId="52C36DDD">
      <w:pPr>
        <w:pStyle w:val="44"/>
        <w:ind w:firstLine="709"/>
        <w:rPr>
          <w:rFonts w:ascii="仿宋_GB2312" w:hAnsi="Calibri" w:eastAsia="仿宋_GB2312"/>
          <w:kern w:val="2"/>
        </w:rPr>
      </w:pPr>
      <w:r>
        <w:rPr>
          <w:rFonts w:hint="eastAsia" w:ascii="仿宋_GB2312" w:hAnsi="Calibri" w:eastAsia="仿宋_GB2312"/>
          <w:kern w:val="2"/>
        </w:rPr>
        <w:t>从土地出让收益中安排治污设施建设资金。从国有土地出让收益中安排一定比例的资金，用于城镇污水收集系统、城市生活垃圾收运设施的建设；城镇新区应将排水管网建设纳入发展规划，与道路、供水、供电等其他市政基础设施同步建设，计入开发成本。（区财政局</w:t>
      </w:r>
      <w:r>
        <w:rPr>
          <w:rFonts w:hint="eastAsia" w:ascii="仿宋_GB2312" w:hAnsi="Calibri" w:eastAsia="仿宋_GB2312"/>
          <w:kern w:val="2"/>
          <w:lang w:eastAsia="zh-CN"/>
        </w:rPr>
        <w:t>、区规划建设和交通局</w:t>
      </w:r>
      <w:r>
        <w:rPr>
          <w:rFonts w:hint="eastAsia" w:ascii="仿宋_GB2312" w:hAnsi="Calibri" w:eastAsia="仿宋_GB2312"/>
          <w:kern w:val="2"/>
        </w:rPr>
        <w:t>牵头，区经发局、</w:t>
      </w:r>
      <w:r>
        <w:rPr>
          <w:rFonts w:hint="eastAsia" w:ascii="仿宋_GB2312" w:eastAsia="仿宋_GB2312"/>
        </w:rPr>
        <w:t>市</w:t>
      </w:r>
      <w:r>
        <w:rPr>
          <w:rFonts w:hint="eastAsia" w:ascii="仿宋_GB2312" w:hAnsi="Calibri" w:eastAsia="仿宋_GB2312"/>
          <w:kern w:val="2"/>
        </w:rPr>
        <w:t>国土资源局高新区分局、</w:t>
      </w:r>
      <w:r>
        <w:rPr>
          <w:rFonts w:hint="eastAsia" w:ascii="仿宋_GB2312" w:eastAsia="仿宋_GB2312"/>
        </w:rPr>
        <w:t>市</w:t>
      </w:r>
      <w:r>
        <w:rPr>
          <w:rFonts w:hint="eastAsia" w:ascii="仿宋_GB2312" w:hAnsi="Calibri" w:eastAsia="仿宋_GB2312"/>
          <w:kern w:val="2"/>
        </w:rPr>
        <w:t xml:space="preserve">环保局高新分局等参与） </w:t>
      </w:r>
    </w:p>
    <w:p w14:paraId="421E0A64">
      <w:pPr>
        <w:pStyle w:val="44"/>
        <w:ind w:firstLine="709"/>
        <w:rPr>
          <w:rFonts w:ascii="仿宋_GB2312" w:hAnsi="Calibri" w:eastAsia="仿宋_GB2312"/>
          <w:kern w:val="2"/>
        </w:rPr>
      </w:pPr>
      <w:r>
        <w:rPr>
          <w:rFonts w:hint="eastAsia" w:ascii="仿宋_GB2312" w:hAnsi="Calibri" w:eastAsia="仿宋_GB2312"/>
          <w:kern w:val="2"/>
        </w:rPr>
        <w:t>4. 建立激励机制。建立节水环保“领跑者”制度。鼓励节能减排先进企业、工业集聚区用水效率、排污强度等达到更高标准，支持开展清洁生产、节约用水和污染治理等示范。（</w:t>
      </w:r>
      <w:r>
        <w:rPr>
          <w:rFonts w:hint="eastAsia" w:ascii="仿宋_GB2312" w:hAnsi="Calibri" w:eastAsia="仿宋_GB2312"/>
          <w:kern w:val="2"/>
          <w:lang w:eastAsia="zh-CN"/>
        </w:rPr>
        <w:t>区</w:t>
      </w:r>
      <w:r>
        <w:rPr>
          <w:rFonts w:hint="eastAsia" w:ascii="仿宋_GB2312" w:hAnsi="Calibri" w:eastAsia="仿宋_GB2312"/>
          <w:kern w:val="2"/>
        </w:rPr>
        <w:t>经发局牵头，区财政局、</w:t>
      </w:r>
      <w:r>
        <w:rPr>
          <w:rFonts w:hint="eastAsia" w:ascii="仿宋_GB2312" w:eastAsia="仿宋_GB2312"/>
        </w:rPr>
        <w:t>市</w:t>
      </w:r>
      <w:r>
        <w:rPr>
          <w:rFonts w:hint="eastAsia" w:ascii="仿宋_GB2312" w:hAnsi="Calibri" w:eastAsia="仿宋_GB2312"/>
          <w:kern w:val="2"/>
        </w:rPr>
        <w:t>环保局高新分局、</w:t>
      </w:r>
      <w:r>
        <w:rPr>
          <w:rFonts w:hint="eastAsia" w:ascii="仿宋_GB2312" w:hAnsi="Arial" w:eastAsia="仿宋_GB2312" w:cs="Arial"/>
        </w:rPr>
        <w:t>区规划建设和交通局</w:t>
      </w:r>
      <w:r>
        <w:rPr>
          <w:rFonts w:hint="eastAsia" w:ascii="仿宋_GB2312" w:hAnsi="Calibri" w:eastAsia="仿宋_GB2312"/>
          <w:kern w:val="2"/>
        </w:rPr>
        <w:t>、</w:t>
      </w:r>
      <w:r>
        <w:rPr>
          <w:rFonts w:hint="eastAsia" w:ascii="仿宋_GB2312" w:hAnsi="仿宋_GB2312" w:eastAsia="仿宋_GB2312" w:cs="仿宋_GB2312"/>
        </w:rPr>
        <w:t>区农村事务局</w:t>
      </w:r>
      <w:r>
        <w:rPr>
          <w:rFonts w:hint="eastAsia" w:ascii="仿宋_GB2312" w:hAnsi="Calibri" w:eastAsia="仿宋_GB2312"/>
          <w:kern w:val="2"/>
        </w:rPr>
        <w:t>等参与）</w:t>
      </w:r>
    </w:p>
    <w:p w14:paraId="7213A17B">
      <w:pPr>
        <w:pStyle w:val="44"/>
        <w:ind w:firstLine="709"/>
        <w:rPr>
          <w:rFonts w:ascii="仿宋_GB2312" w:hAnsi="Calibri" w:eastAsia="仿宋_GB2312"/>
          <w:kern w:val="2"/>
        </w:rPr>
      </w:pPr>
      <w:r>
        <w:rPr>
          <w:rFonts w:hint="eastAsia" w:ascii="仿宋_GB2312" w:hAnsi="Calibri" w:eastAsia="仿宋_GB2312"/>
          <w:kern w:val="2"/>
        </w:rPr>
        <w:t>推行绿色信贷。发挥金融机构在水环境保护重点作用，重点支持循环经济、污水处理、水资源节约、水生态环境保护、清洁及可再生能源利用等领域。严格限制环境违法企业贷款。启动试点行业企业环境行为信用评价，加强环境信用体系建设，构建守信激励与失信惩戒机制，环保、银行、证券、保险等方面加强协作联动，于2017年底前分级建立企业环境信用评价体系。鼓励水污染防治相关行业投保环境污染责任保险，对涉重金属、石油化工、危险化学品运输等高环境风险行业实行强制性环境污染责任保险。（市环保局高新分局牵头，区经发局、</w:t>
      </w:r>
      <w:r>
        <w:rPr>
          <w:rFonts w:hint="eastAsia" w:ascii="仿宋_GB2312" w:hAnsi="仿宋_GB2312" w:eastAsia="仿宋_GB2312" w:cs="仿宋_GB2312"/>
        </w:rPr>
        <w:t>区农村事务局</w:t>
      </w:r>
      <w:r>
        <w:rPr>
          <w:rFonts w:hint="eastAsia" w:ascii="仿宋_GB2312" w:hAnsi="Calibri" w:eastAsia="仿宋_GB2312"/>
          <w:kern w:val="2"/>
        </w:rPr>
        <w:t>等参与）</w:t>
      </w:r>
    </w:p>
    <w:p w14:paraId="2ADDD4BC">
      <w:pPr>
        <w:pStyle w:val="44"/>
        <w:ind w:firstLine="709"/>
        <w:rPr>
          <w:rFonts w:ascii="仿宋_GB2312" w:hAnsi="Calibri" w:eastAsia="仿宋_GB2312"/>
          <w:kern w:val="2"/>
        </w:rPr>
      </w:pPr>
      <w:r>
        <w:rPr>
          <w:rFonts w:hint="eastAsia" w:ascii="仿宋_GB2312" w:hAnsi="Calibri" w:eastAsia="仿宋_GB2312"/>
          <w:kern w:val="2"/>
        </w:rPr>
        <w:t>（三）明确和落实各方责任。</w:t>
      </w:r>
    </w:p>
    <w:p w14:paraId="7D958F57">
      <w:pPr>
        <w:pStyle w:val="44"/>
        <w:ind w:firstLine="709"/>
        <w:rPr>
          <w:rFonts w:ascii="仿宋_GB2312" w:hAnsi="Calibri" w:eastAsia="仿宋_GB2312"/>
          <w:kern w:val="2"/>
        </w:rPr>
      </w:pPr>
      <w:r>
        <w:rPr>
          <w:rFonts w:hint="eastAsia" w:ascii="仿宋_GB2312" w:hAnsi="Calibri" w:eastAsia="仿宋_GB2312"/>
          <w:kern w:val="2"/>
        </w:rPr>
        <w:t>1.强化</w:t>
      </w:r>
      <w:r>
        <w:rPr>
          <w:rFonts w:hint="eastAsia" w:ascii="仿宋_GB2312" w:hAnsi="Calibri" w:eastAsia="仿宋_GB2312"/>
          <w:kern w:val="2"/>
          <w:lang w:eastAsia="zh-CN"/>
        </w:rPr>
        <w:t>管委会</w:t>
      </w:r>
      <w:r>
        <w:rPr>
          <w:rFonts w:hint="eastAsia" w:ascii="仿宋_GB2312" w:hAnsi="Calibri" w:eastAsia="仿宋_GB2312"/>
          <w:kern w:val="2"/>
        </w:rPr>
        <w:t>水环境保护责任。</w:t>
      </w:r>
      <w:r>
        <w:rPr>
          <w:rFonts w:hint="eastAsia" w:ascii="仿宋_GB2312" w:hAnsi="Calibri" w:eastAsia="仿宋_GB2312"/>
          <w:kern w:val="2"/>
          <w:lang w:eastAsia="zh-CN"/>
        </w:rPr>
        <w:t>管委会</w:t>
      </w:r>
      <w:r>
        <w:rPr>
          <w:rFonts w:hint="eastAsia" w:ascii="仿宋_GB2312" w:hAnsi="Calibri" w:eastAsia="仿宋_GB2312"/>
          <w:kern w:val="2"/>
        </w:rPr>
        <w:t>是实施行动计划的主体，制定并公布水污染防治工作方案，逐年确定分流域、分区域、分行业的重点任务和年度目标。要不断完善政策措施，加大资金投入，统筹城乡水污染治理，强化监管，确保各项任务全面完成。工作方案报市上一级政府备案。（市环保局高新分局牵头，区财政局、区经发局、</w:t>
      </w:r>
      <w:r>
        <w:rPr>
          <w:rFonts w:hint="eastAsia" w:ascii="仿宋_GB2312" w:hAnsi="Arial" w:eastAsia="仿宋_GB2312" w:cs="Arial"/>
        </w:rPr>
        <w:t>区规划设和交通局、区农村事务局</w:t>
      </w:r>
      <w:r>
        <w:rPr>
          <w:rFonts w:hint="eastAsia" w:ascii="仿宋_GB2312" w:hAnsi="Calibri" w:eastAsia="仿宋_GB2312"/>
          <w:kern w:val="2"/>
        </w:rPr>
        <w:t>等参与）</w:t>
      </w:r>
    </w:p>
    <w:p w14:paraId="2152C0A7">
      <w:pPr>
        <w:pStyle w:val="44"/>
        <w:ind w:firstLine="709"/>
        <w:rPr>
          <w:rFonts w:ascii="仿宋_GB2312" w:hAnsi="Calibri" w:eastAsia="仿宋_GB2312"/>
          <w:kern w:val="2"/>
        </w:rPr>
      </w:pPr>
      <w:r>
        <w:rPr>
          <w:rFonts w:hint="eastAsia" w:ascii="仿宋_GB2312" w:hAnsi="Calibri" w:eastAsia="仿宋_GB2312"/>
          <w:kern w:val="2"/>
        </w:rPr>
        <w:t>2.加强部门协调联动。建立区水污染防治联席会议制度，定期研究全区水污染防治等重大问题。联席会议办公室设在市环保局高新分局，负责协调推进全区水污染防治等工作。各有关部门要认真按照职责分工，切实做好水污染防治相关工作。市环保局高新分局要加强统一指导、协调和监督，工作进展及时向区管委会报告。（市环保局高新分局牵头，区经发局、区财政局、</w:t>
      </w:r>
      <w:r>
        <w:rPr>
          <w:rFonts w:hint="eastAsia" w:ascii="仿宋_GB2312" w:hAnsi="Arial" w:eastAsia="仿宋_GB2312" w:cs="Arial"/>
        </w:rPr>
        <w:t>区规划建设和交通局</w:t>
      </w:r>
      <w:r>
        <w:rPr>
          <w:rFonts w:hint="eastAsia" w:ascii="仿宋_GB2312" w:hAnsi="Calibri" w:eastAsia="仿宋_GB2312"/>
          <w:kern w:val="2"/>
        </w:rPr>
        <w:t>、</w:t>
      </w:r>
      <w:r>
        <w:rPr>
          <w:rFonts w:hint="eastAsia" w:ascii="仿宋_GB2312" w:hAnsi="仿宋_GB2312" w:eastAsia="仿宋_GB2312" w:cs="仿宋_GB2312"/>
        </w:rPr>
        <w:t>区农村事务局</w:t>
      </w:r>
      <w:r>
        <w:rPr>
          <w:rFonts w:hint="eastAsia" w:ascii="仿宋_GB2312" w:hAnsi="Calibri" w:eastAsia="仿宋_GB2312"/>
          <w:kern w:val="2"/>
        </w:rPr>
        <w:t>等参与）</w:t>
      </w:r>
    </w:p>
    <w:p w14:paraId="3C2D8934">
      <w:pPr>
        <w:pStyle w:val="44"/>
        <w:ind w:firstLine="709"/>
        <w:rPr>
          <w:rFonts w:ascii="仿宋_GB2312" w:hAnsi="Calibri" w:eastAsia="仿宋_GB2312"/>
          <w:kern w:val="2"/>
        </w:rPr>
      </w:pPr>
      <w:r>
        <w:rPr>
          <w:rFonts w:hint="eastAsia" w:ascii="仿宋_GB2312" w:hAnsi="Calibri" w:eastAsia="仿宋_GB2312"/>
          <w:kern w:val="2"/>
        </w:rPr>
        <w:t xml:space="preserve">3.落实排污单位主体责任。各类排污单位要严格执行环保法律法规和制度，加强污染治理设施建设和运行管理，开展自行监测，落实治污减排、环境风险防范、信息公开等责任。中央企业和国有企业要带头落实，工业集聚区内的企业探索建立环保自律机制。（市环保局高新分局牵头，区国资委参与）  </w:t>
      </w:r>
    </w:p>
    <w:p w14:paraId="39A6715B">
      <w:pPr>
        <w:pStyle w:val="44"/>
        <w:ind w:firstLine="709"/>
        <w:rPr>
          <w:rFonts w:ascii="仿宋_GB2312" w:hAnsi="Calibri" w:eastAsia="仿宋_GB2312"/>
          <w:color w:val="FF0000"/>
          <w:kern w:val="2"/>
        </w:rPr>
      </w:pPr>
      <w:r>
        <w:rPr>
          <w:rFonts w:hint="eastAsia" w:ascii="仿宋_GB2312" w:hAnsi="Calibri" w:eastAsia="仿宋_GB2312"/>
          <w:kern w:val="2"/>
        </w:rPr>
        <w:t>4.严格目标任务考核。根据水污染防治目标责任书，分解落实目标任务，认真落实环境保护任期目标责任制，党政同责、一岗双责。切实做到“领导到位、责任到位、措施到位、投入到位”。建立环保政绩考核制度与督查问责制度，将环境保护目标责任考核纳入各责任单位年度考核体系。每年对行动计划实施情况进行自查，确保完成市下达的考核任务。对因工作不力、履职缺位等导致未能有效应对水环境污染事件的，以及干预、伪造数据和没有完成年度目标任务的，要依法依纪追究有关单位和人员责任。对不顾生态环境盲目决策，导致水环境质量恶化，造成严重后果的领导干部，要记录在案，视情节轻重，给予组织处理或党纪政纪处分，已经离任的要终身追究责任。（市环保局高新分局牵头，区组织人事局、区经发局、区财政局、</w:t>
      </w:r>
      <w:r>
        <w:rPr>
          <w:rFonts w:hint="eastAsia" w:ascii="仿宋_GB2312" w:hAnsi="Calibri" w:eastAsia="仿宋_GB2312"/>
          <w:kern w:val="2"/>
          <w:lang w:eastAsia="zh-CN"/>
        </w:rPr>
        <w:t>区规划建设和交通局、区农村事务局、</w:t>
      </w:r>
      <w:r>
        <w:rPr>
          <w:rFonts w:hint="eastAsia" w:ascii="仿宋_GB2312" w:hAnsi="Calibri" w:eastAsia="仿宋_GB2312"/>
          <w:kern w:val="2"/>
        </w:rPr>
        <w:t>区监察局等参与）</w:t>
      </w:r>
    </w:p>
    <w:p w14:paraId="28BFB48C">
      <w:pPr>
        <w:pStyle w:val="3"/>
        <w:spacing w:before="156" w:after="156"/>
        <w:ind w:firstLine="710"/>
      </w:pPr>
      <w:bookmarkStart w:id="15" w:name="_Toc491959433"/>
      <w:r>
        <w:rPr>
          <w:rFonts w:hint="eastAsia"/>
        </w:rPr>
        <w:t>（三）强化公众参与和社会监督</w:t>
      </w:r>
      <w:bookmarkEnd w:id="15"/>
    </w:p>
    <w:p w14:paraId="000E0585">
      <w:pPr>
        <w:pStyle w:val="44"/>
        <w:ind w:firstLine="709"/>
        <w:rPr>
          <w:rFonts w:ascii="仿宋_GB2312" w:hAnsi="Calibri" w:eastAsia="仿宋_GB2312"/>
          <w:kern w:val="2"/>
        </w:rPr>
      </w:pPr>
      <w:r>
        <w:rPr>
          <w:rFonts w:hint="eastAsia" w:ascii="仿宋_GB2312" w:hAnsi="Calibri" w:eastAsia="仿宋_GB2312"/>
          <w:kern w:val="2"/>
        </w:rPr>
        <w:t>1. 依法公开环境信息。定期公布辖区水环境质量状况。从2016 年1月份起，国家、省和市确定的重点排污单位应依法向社会公开其产生的主要污染物名称、排放方式、排放浓度和总量、超标排放情况，以及污染防治设施的建设和运行情况，主动接受监督。2017年底前研究发布工业集聚区环境友好指数、重点行业污染物排放强度、城市环境友好指数等信息。（市环保局高新分局牵头，</w:t>
      </w:r>
      <w:r>
        <w:rPr>
          <w:rFonts w:hint="eastAsia" w:ascii="仿宋_GB2312" w:hAnsi="Calibri" w:eastAsia="仿宋_GB2312"/>
          <w:kern w:val="2"/>
          <w:lang w:eastAsia="zh-CN"/>
        </w:rPr>
        <w:t>区</w:t>
      </w:r>
      <w:r>
        <w:rPr>
          <w:rFonts w:hint="eastAsia" w:ascii="仿宋_GB2312" w:hAnsi="Calibri" w:eastAsia="仿宋_GB2312"/>
          <w:kern w:val="2"/>
        </w:rPr>
        <w:t xml:space="preserve">经发局等参与） </w:t>
      </w:r>
    </w:p>
    <w:p w14:paraId="173FD919">
      <w:pPr>
        <w:pStyle w:val="44"/>
        <w:ind w:firstLine="709"/>
        <w:rPr>
          <w:rFonts w:ascii="仿宋_GB2312" w:hAnsi="Calibri" w:eastAsia="仿宋_GB2312"/>
          <w:kern w:val="2"/>
          <w:highlight w:val="red"/>
        </w:rPr>
      </w:pPr>
      <w:r>
        <w:rPr>
          <w:rFonts w:hint="eastAsia" w:ascii="仿宋_GB2312" w:hAnsi="Calibri" w:eastAsia="仿宋_GB2312"/>
          <w:kern w:val="2"/>
        </w:rPr>
        <w:t>2. 加强社会监督。为公众、社会组织提供水污染防治法规培训和咨询，邀请其全程参与重要环保执法行动和重大水污染事件调查。公开曝光环境违法典型案件。健全举报制度，充分发挥“12369”环保举报热线和网络平台作用。限期办理群众举报投诉的环境问题，一经查实，可给予举报人奖励。通过公开听证、网络征集等形式，充分听取公众对重大决策和建设项目的意见。积极推行环境公益诉讼。督促企业贯彻落实《企业信息公开暂行条例》，主动公开环境违法受罚信息。（市环保局高新分局</w:t>
      </w:r>
      <w:r>
        <w:rPr>
          <w:rFonts w:hint="eastAsia" w:ascii="仿宋_GB2312" w:hAnsi="Calibri" w:eastAsia="仿宋_GB2312"/>
          <w:kern w:val="2"/>
          <w:lang w:eastAsia="zh-CN"/>
        </w:rPr>
        <w:t>、区综合行政执法局</w:t>
      </w:r>
      <w:r>
        <w:rPr>
          <w:rFonts w:hint="eastAsia" w:ascii="仿宋_GB2312" w:hAnsi="Calibri" w:eastAsia="仿宋_GB2312"/>
          <w:kern w:val="2"/>
        </w:rPr>
        <w:t xml:space="preserve">参与） </w:t>
      </w:r>
    </w:p>
    <w:p w14:paraId="544B5AC0">
      <w:pPr>
        <w:pStyle w:val="44"/>
        <w:ind w:firstLine="709"/>
        <w:rPr>
          <w:rFonts w:ascii="仿宋_GB2312" w:hAnsi="Calibri" w:eastAsia="仿宋_GB2312"/>
          <w:kern w:val="2"/>
        </w:rPr>
      </w:pPr>
      <w:r>
        <w:rPr>
          <w:rFonts w:hint="eastAsia" w:ascii="仿宋_GB2312" w:hAnsi="Calibri" w:eastAsia="仿宋_GB2312"/>
          <w:kern w:val="2"/>
        </w:rPr>
        <w:t>3. 构建全民行动格局。树立“节水洁水，人人有责”的行为准则。加强宣传教育，把水资源、水环境保护和水情知识纳入国民教育体系，提高公众对经济社会发展和环境保护客观规律的认识。依托中小学节水教育、水土保持教育、环境教育等社会实践基地，开展环保社会实践活动。支持民间环保机构、志愿者开展工作。倡导绿色消费新风尚，开展环保社区、学校、家庭等群众性创建活动，推动节约用水，鼓励购买使用节水产品和环境标志产品。（市环保局高新分局牵头，</w:t>
      </w:r>
      <w:r>
        <w:rPr>
          <w:rFonts w:hint="eastAsia" w:ascii="仿宋_GB2312" w:hAnsi="Arial" w:eastAsia="仿宋_GB2312" w:cs="Arial"/>
        </w:rPr>
        <w:t>区教育文体局</w:t>
      </w:r>
      <w:r>
        <w:rPr>
          <w:rFonts w:hint="eastAsia" w:ascii="仿宋_GB2312" w:hAnsi="Calibri" w:eastAsia="仿宋_GB2312"/>
          <w:kern w:val="2"/>
        </w:rPr>
        <w:t>、</w:t>
      </w:r>
      <w:r>
        <w:rPr>
          <w:rFonts w:hint="eastAsia" w:ascii="仿宋_GB2312" w:hAnsi="Arial" w:eastAsia="仿宋_GB2312" w:cs="Arial"/>
        </w:rPr>
        <w:t>区规划建设和交通局、</w:t>
      </w:r>
      <w:r>
        <w:rPr>
          <w:rFonts w:hint="eastAsia" w:ascii="仿宋_GB2312" w:hAnsi="仿宋_GB2312" w:eastAsia="仿宋_GB2312" w:cs="仿宋_GB2312"/>
        </w:rPr>
        <w:t>区农村事务局</w:t>
      </w:r>
      <w:r>
        <w:rPr>
          <w:rFonts w:hint="eastAsia" w:ascii="仿宋_GB2312" w:hAnsi="Calibri" w:eastAsia="仿宋_GB2312"/>
          <w:kern w:val="2"/>
        </w:rPr>
        <w:t xml:space="preserve">等参与） </w:t>
      </w:r>
    </w:p>
    <w:p w14:paraId="1C3F4E3D">
      <w:pPr>
        <w:pStyle w:val="44"/>
        <w:ind w:firstLine="709"/>
        <w:rPr>
          <w:rFonts w:ascii="仿宋_GB2312" w:hAnsi="Calibri" w:eastAsia="仿宋_GB2312"/>
          <w:kern w:val="2"/>
        </w:rPr>
      </w:pPr>
      <w:r>
        <w:rPr>
          <w:rFonts w:hint="eastAsia" w:ascii="仿宋_GB2312" w:hAnsi="Calibri" w:eastAsia="仿宋_GB2312"/>
          <w:kern w:val="2"/>
        </w:rPr>
        <w:t>我区正处于</w:t>
      </w:r>
      <w:r>
        <w:rPr>
          <w:rFonts w:hint="eastAsia" w:ascii="仿宋_GB2312" w:eastAsia="仿宋_GB2312"/>
        </w:rPr>
        <w:t>实现跨越式发展的起步时期，</w:t>
      </w:r>
      <w:r>
        <w:rPr>
          <w:rFonts w:hint="eastAsia" w:ascii="仿宋_GB2312" w:hAnsi="Calibri" w:eastAsia="仿宋_GB2312"/>
          <w:kern w:val="2"/>
        </w:rPr>
        <w:t>新型工业化、信息化、城镇化将实现快速发展，水污染防治任务繁重艰巨。各有关部门要切实处理好经济社会发展和生态文明建设的关系，按照“地方履行属地责任、部门强化行业管理”的要求，明确执法主体和责任主体，做到各司其职，恪尽职守，突出重点，综合整治，务求实效，以抓铁有痕、踏石留印的精神，依法依规狠抓贯彻落实，确保全区水环境治理与保护目标如期实现，为实现“两个一百年”奋斗目标和开创我区生态文明建设新局面作出贡献。</w:t>
      </w:r>
    </w:p>
    <w:p w14:paraId="560CA319">
      <w:pPr>
        <w:widowControl/>
        <w:spacing w:line="360" w:lineRule="exact"/>
        <w:jc w:val="left"/>
        <w:rPr>
          <w:rFonts w:ascii="仿宋_GB2312" w:eastAsia="仿宋_GB2312"/>
          <w:sz w:val="32"/>
          <w:szCs w:val="32"/>
        </w:rPr>
      </w:pPr>
    </w:p>
    <w:p w14:paraId="22CDE047">
      <w:pPr>
        <w:widowControl/>
        <w:spacing w:line="360" w:lineRule="exact"/>
        <w:jc w:val="left"/>
        <w:rPr>
          <w:rFonts w:ascii="仿宋_GB2312" w:eastAsia="仿宋_GB2312"/>
          <w:sz w:val="32"/>
          <w:szCs w:val="32"/>
        </w:rPr>
      </w:pPr>
      <w:r>
        <w:rPr>
          <w:rFonts w:hint="eastAsia" w:ascii="仿宋_GB2312" w:eastAsia="仿宋_GB2312"/>
          <w:sz w:val="32"/>
          <w:szCs w:val="32"/>
        </w:rPr>
        <w:t>附件：阳江高新区水污染防治工作领导小组成员名单</w:t>
      </w:r>
    </w:p>
    <w:p w14:paraId="6A86BD45">
      <w:pPr>
        <w:widowControl/>
        <w:spacing w:line="360" w:lineRule="exact"/>
        <w:jc w:val="left"/>
        <w:rPr>
          <w:rFonts w:ascii="仿宋" w:hAnsi="仿宋" w:eastAsia="仿宋" w:cs="宋体"/>
          <w:kern w:val="0"/>
          <w:sz w:val="28"/>
          <w:szCs w:val="28"/>
        </w:rPr>
      </w:pPr>
    </w:p>
    <w:p w14:paraId="2F15E79A">
      <w:pPr>
        <w:widowControl/>
        <w:spacing w:line="360" w:lineRule="exact"/>
        <w:jc w:val="left"/>
        <w:rPr>
          <w:rFonts w:ascii="仿宋" w:hAnsi="仿宋" w:eastAsia="仿宋" w:cs="宋体"/>
          <w:kern w:val="0"/>
          <w:sz w:val="28"/>
          <w:szCs w:val="28"/>
        </w:rPr>
      </w:pPr>
    </w:p>
    <w:p w14:paraId="7E787954">
      <w:pPr>
        <w:widowControl/>
        <w:spacing w:line="360" w:lineRule="exact"/>
        <w:jc w:val="left"/>
        <w:rPr>
          <w:rFonts w:ascii="仿宋" w:hAnsi="仿宋" w:eastAsia="仿宋" w:cs="宋体"/>
          <w:kern w:val="0"/>
          <w:sz w:val="28"/>
          <w:szCs w:val="28"/>
        </w:rPr>
      </w:pPr>
    </w:p>
    <w:p w14:paraId="3C6428AC">
      <w:pPr>
        <w:widowControl/>
        <w:spacing w:line="360" w:lineRule="exact"/>
        <w:jc w:val="left"/>
        <w:rPr>
          <w:rFonts w:ascii="仿宋" w:hAnsi="仿宋" w:eastAsia="仿宋" w:cs="宋体"/>
          <w:kern w:val="0"/>
          <w:sz w:val="28"/>
          <w:szCs w:val="28"/>
        </w:rPr>
      </w:pPr>
    </w:p>
    <w:p w14:paraId="5F3C1CB0">
      <w:pPr>
        <w:widowControl/>
        <w:spacing w:line="360" w:lineRule="exact"/>
        <w:jc w:val="left"/>
        <w:rPr>
          <w:rFonts w:ascii="仿宋" w:hAnsi="仿宋" w:eastAsia="仿宋" w:cs="宋体"/>
          <w:kern w:val="0"/>
          <w:sz w:val="28"/>
          <w:szCs w:val="28"/>
        </w:rPr>
      </w:pPr>
    </w:p>
    <w:p w14:paraId="3C50E64A">
      <w:pPr>
        <w:widowControl/>
        <w:spacing w:line="360" w:lineRule="exact"/>
        <w:jc w:val="left"/>
        <w:rPr>
          <w:rFonts w:ascii="仿宋" w:hAnsi="仿宋" w:eastAsia="仿宋" w:cs="宋体"/>
          <w:kern w:val="0"/>
          <w:sz w:val="28"/>
          <w:szCs w:val="28"/>
        </w:rPr>
      </w:pPr>
    </w:p>
    <w:p w14:paraId="43B397BB">
      <w:pPr>
        <w:widowControl/>
        <w:spacing w:line="360" w:lineRule="exact"/>
        <w:jc w:val="left"/>
        <w:rPr>
          <w:rFonts w:ascii="仿宋" w:hAnsi="仿宋" w:eastAsia="仿宋" w:cs="宋体"/>
          <w:kern w:val="0"/>
          <w:sz w:val="28"/>
          <w:szCs w:val="28"/>
        </w:rPr>
      </w:pPr>
    </w:p>
    <w:p w14:paraId="46333660">
      <w:pPr>
        <w:widowControl/>
        <w:spacing w:line="360" w:lineRule="exact"/>
        <w:jc w:val="left"/>
        <w:rPr>
          <w:rFonts w:ascii="仿宋" w:hAnsi="仿宋" w:eastAsia="仿宋" w:cs="宋体"/>
          <w:kern w:val="0"/>
          <w:sz w:val="28"/>
          <w:szCs w:val="28"/>
        </w:rPr>
      </w:pPr>
    </w:p>
    <w:p w14:paraId="2483CC12">
      <w:pPr>
        <w:widowControl/>
        <w:spacing w:line="360" w:lineRule="exact"/>
        <w:jc w:val="left"/>
        <w:rPr>
          <w:rFonts w:ascii="仿宋" w:hAnsi="仿宋" w:eastAsia="仿宋" w:cs="宋体"/>
          <w:kern w:val="0"/>
          <w:sz w:val="28"/>
          <w:szCs w:val="28"/>
        </w:rPr>
      </w:pPr>
    </w:p>
    <w:p w14:paraId="2CCEB6E3">
      <w:pPr>
        <w:widowControl/>
        <w:spacing w:line="360" w:lineRule="exact"/>
        <w:jc w:val="left"/>
        <w:rPr>
          <w:rFonts w:ascii="仿宋" w:hAnsi="仿宋" w:eastAsia="仿宋" w:cs="宋体"/>
          <w:kern w:val="0"/>
          <w:sz w:val="28"/>
          <w:szCs w:val="28"/>
        </w:rPr>
      </w:pPr>
    </w:p>
    <w:p w14:paraId="331F9011">
      <w:pPr>
        <w:widowControl/>
        <w:spacing w:line="360" w:lineRule="exact"/>
        <w:jc w:val="left"/>
        <w:rPr>
          <w:rFonts w:ascii="仿宋" w:hAnsi="仿宋" w:eastAsia="仿宋" w:cs="宋体"/>
          <w:kern w:val="0"/>
          <w:sz w:val="28"/>
          <w:szCs w:val="28"/>
        </w:rPr>
      </w:pPr>
    </w:p>
    <w:p w14:paraId="74B3BE0D">
      <w:pPr>
        <w:widowControl/>
        <w:spacing w:line="360" w:lineRule="exact"/>
        <w:jc w:val="left"/>
        <w:rPr>
          <w:rFonts w:ascii="仿宋" w:hAnsi="仿宋" w:eastAsia="仿宋" w:cs="宋体"/>
          <w:kern w:val="0"/>
          <w:sz w:val="28"/>
          <w:szCs w:val="28"/>
        </w:rPr>
      </w:pPr>
    </w:p>
    <w:p w14:paraId="230FC59D">
      <w:pPr>
        <w:widowControl/>
        <w:spacing w:line="360" w:lineRule="exact"/>
        <w:jc w:val="left"/>
        <w:rPr>
          <w:rFonts w:ascii="仿宋" w:hAnsi="仿宋" w:eastAsia="仿宋" w:cs="宋体"/>
          <w:kern w:val="0"/>
          <w:sz w:val="28"/>
          <w:szCs w:val="28"/>
        </w:rPr>
      </w:pPr>
    </w:p>
    <w:p w14:paraId="640D3D09">
      <w:pPr>
        <w:widowControl/>
        <w:spacing w:line="360" w:lineRule="exact"/>
        <w:jc w:val="left"/>
        <w:rPr>
          <w:rFonts w:ascii="仿宋" w:hAnsi="仿宋" w:eastAsia="仿宋" w:cs="宋体"/>
          <w:kern w:val="0"/>
          <w:sz w:val="28"/>
          <w:szCs w:val="28"/>
        </w:rPr>
      </w:pPr>
    </w:p>
    <w:p w14:paraId="04B3083F">
      <w:pPr>
        <w:widowControl/>
        <w:spacing w:line="360" w:lineRule="exact"/>
        <w:jc w:val="left"/>
        <w:rPr>
          <w:rFonts w:ascii="仿宋" w:hAnsi="仿宋" w:eastAsia="仿宋" w:cs="宋体"/>
          <w:kern w:val="0"/>
          <w:sz w:val="28"/>
          <w:szCs w:val="28"/>
        </w:rPr>
      </w:pPr>
    </w:p>
    <w:p w14:paraId="0A894DBA">
      <w:pPr>
        <w:widowControl/>
        <w:spacing w:line="360" w:lineRule="exact"/>
        <w:jc w:val="left"/>
        <w:rPr>
          <w:rFonts w:ascii="仿宋" w:hAnsi="仿宋" w:eastAsia="仿宋" w:cs="宋体"/>
          <w:kern w:val="0"/>
          <w:sz w:val="28"/>
          <w:szCs w:val="28"/>
        </w:rPr>
      </w:pPr>
    </w:p>
    <w:p w14:paraId="4FD41C09">
      <w:pPr>
        <w:widowControl/>
        <w:spacing w:line="360" w:lineRule="exact"/>
        <w:jc w:val="left"/>
        <w:rPr>
          <w:rFonts w:ascii="仿宋" w:hAnsi="仿宋" w:eastAsia="仿宋" w:cs="宋体"/>
          <w:kern w:val="0"/>
          <w:sz w:val="28"/>
          <w:szCs w:val="28"/>
        </w:rPr>
      </w:pPr>
    </w:p>
    <w:p w14:paraId="4FDC25E3">
      <w:pPr>
        <w:widowControl/>
        <w:spacing w:line="360" w:lineRule="exact"/>
        <w:jc w:val="left"/>
        <w:rPr>
          <w:rFonts w:ascii="仿宋" w:hAnsi="仿宋" w:eastAsia="仿宋" w:cs="宋体"/>
          <w:kern w:val="0"/>
          <w:sz w:val="28"/>
          <w:szCs w:val="28"/>
        </w:rPr>
      </w:pPr>
    </w:p>
    <w:p w14:paraId="2BD28EE3">
      <w:pPr>
        <w:widowControl/>
        <w:spacing w:line="360" w:lineRule="exact"/>
        <w:jc w:val="left"/>
        <w:rPr>
          <w:rFonts w:ascii="仿宋" w:hAnsi="仿宋" w:eastAsia="仿宋" w:cs="宋体"/>
          <w:kern w:val="0"/>
          <w:sz w:val="28"/>
          <w:szCs w:val="28"/>
        </w:rPr>
      </w:pPr>
    </w:p>
    <w:p w14:paraId="2C57DE25">
      <w:pPr>
        <w:widowControl/>
        <w:spacing w:line="360" w:lineRule="exact"/>
        <w:jc w:val="left"/>
        <w:rPr>
          <w:rFonts w:ascii="仿宋" w:hAnsi="仿宋" w:eastAsia="仿宋" w:cs="宋体"/>
          <w:kern w:val="0"/>
          <w:sz w:val="28"/>
          <w:szCs w:val="28"/>
        </w:rPr>
      </w:pPr>
    </w:p>
    <w:p w14:paraId="0DC1C7A5">
      <w:pPr>
        <w:widowControl/>
        <w:spacing w:line="360" w:lineRule="exact"/>
        <w:jc w:val="left"/>
        <w:rPr>
          <w:rFonts w:ascii="仿宋" w:hAnsi="仿宋" w:eastAsia="仿宋" w:cs="宋体"/>
          <w:kern w:val="0"/>
          <w:sz w:val="28"/>
          <w:szCs w:val="28"/>
        </w:rPr>
      </w:pPr>
    </w:p>
    <w:p w14:paraId="5BD8BEAC">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附件</w:t>
      </w:r>
    </w:p>
    <w:p w14:paraId="441CD6A8">
      <w:pPr>
        <w:widowControl/>
        <w:spacing w:line="360" w:lineRule="exact"/>
        <w:jc w:val="left"/>
        <w:rPr>
          <w:rFonts w:ascii="仿宋" w:hAnsi="仿宋" w:eastAsia="仿宋" w:cs="宋体"/>
          <w:kern w:val="0"/>
          <w:sz w:val="32"/>
          <w:szCs w:val="32"/>
        </w:rPr>
      </w:pPr>
    </w:p>
    <w:p w14:paraId="5E848E30">
      <w:pPr>
        <w:widowControl/>
        <w:spacing w:line="360" w:lineRule="exact"/>
        <w:jc w:val="center"/>
        <w:rPr>
          <w:rFonts w:ascii="仿宋" w:hAnsi="仿宋" w:eastAsia="仿宋" w:cs="宋体"/>
          <w:b/>
          <w:bCs/>
          <w:kern w:val="0"/>
          <w:sz w:val="32"/>
          <w:szCs w:val="32"/>
        </w:rPr>
      </w:pPr>
      <w:r>
        <w:rPr>
          <w:rFonts w:hint="eastAsia" w:ascii="仿宋" w:hAnsi="仿宋" w:eastAsia="仿宋" w:cs="宋体"/>
          <w:b/>
          <w:bCs/>
          <w:kern w:val="0"/>
          <w:sz w:val="32"/>
          <w:szCs w:val="32"/>
        </w:rPr>
        <w:t xml:space="preserve">阳江高新区水污染防治工作领导小组成员名单 </w:t>
      </w:r>
    </w:p>
    <w:p w14:paraId="106B96CD">
      <w:pPr>
        <w:widowControl/>
        <w:spacing w:line="360" w:lineRule="exact"/>
        <w:jc w:val="left"/>
        <w:rPr>
          <w:rFonts w:ascii="仿宋" w:hAnsi="仿宋" w:eastAsia="仿宋" w:cs="宋体"/>
          <w:kern w:val="0"/>
          <w:sz w:val="32"/>
          <w:szCs w:val="32"/>
        </w:rPr>
      </w:pPr>
    </w:p>
    <w:p w14:paraId="0887ADB7">
      <w:pPr>
        <w:widowControl/>
        <w:spacing w:line="360" w:lineRule="exact"/>
        <w:jc w:val="left"/>
        <w:rPr>
          <w:rFonts w:ascii="仿宋" w:hAnsi="仿宋" w:eastAsia="仿宋" w:cs="宋体"/>
          <w:kern w:val="0"/>
          <w:sz w:val="32"/>
          <w:szCs w:val="32"/>
        </w:rPr>
      </w:pPr>
    </w:p>
    <w:tbl>
      <w:tblPr>
        <w:tblStyle w:val="35"/>
        <w:tblW w:w="7938" w:type="dxa"/>
        <w:tblInd w:w="392" w:type="dxa"/>
        <w:tblLayout w:type="fixed"/>
        <w:tblCellMar>
          <w:top w:w="0" w:type="dxa"/>
          <w:left w:w="108" w:type="dxa"/>
          <w:bottom w:w="0" w:type="dxa"/>
          <w:right w:w="108" w:type="dxa"/>
        </w:tblCellMar>
      </w:tblPr>
      <w:tblGrid>
        <w:gridCol w:w="1559"/>
        <w:gridCol w:w="1559"/>
        <w:gridCol w:w="4820"/>
      </w:tblGrid>
      <w:tr w14:paraId="4B62B564">
        <w:tblPrEx>
          <w:tblCellMar>
            <w:top w:w="0" w:type="dxa"/>
            <w:left w:w="108" w:type="dxa"/>
            <w:bottom w:w="0" w:type="dxa"/>
            <w:right w:w="108" w:type="dxa"/>
          </w:tblCellMar>
        </w:tblPrEx>
        <w:trPr>
          <w:trHeight w:val="574" w:hRule="atLeast"/>
        </w:trPr>
        <w:tc>
          <w:tcPr>
            <w:tcW w:w="1559" w:type="dxa"/>
          </w:tcPr>
          <w:p w14:paraId="272620E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组 </w:t>
            </w:r>
            <w:r>
              <w:rPr>
                <w:rFonts w:hint="eastAsia" w:ascii="微软雅黑" w:hAnsi="微软雅黑" w:eastAsia="仿宋" w:cs="宋体"/>
                <w:kern w:val="0"/>
                <w:sz w:val="32"/>
                <w:szCs w:val="32"/>
              </w:rPr>
              <w:t>   </w:t>
            </w:r>
            <w:r>
              <w:rPr>
                <w:rFonts w:hint="eastAsia" w:ascii="仿宋" w:hAnsi="仿宋" w:eastAsia="仿宋" w:cs="宋体"/>
                <w:kern w:val="0"/>
                <w:sz w:val="32"/>
                <w:szCs w:val="32"/>
              </w:rPr>
              <w:t>长：</w:t>
            </w:r>
          </w:p>
        </w:tc>
        <w:tc>
          <w:tcPr>
            <w:tcW w:w="1559" w:type="dxa"/>
          </w:tcPr>
          <w:p w14:paraId="61FC8ECB">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傅光焱</w:t>
            </w:r>
          </w:p>
        </w:tc>
        <w:tc>
          <w:tcPr>
            <w:tcW w:w="4820" w:type="dxa"/>
          </w:tcPr>
          <w:p w14:paraId="445BE957">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管委会主任</w:t>
            </w:r>
          </w:p>
        </w:tc>
      </w:tr>
      <w:tr w14:paraId="0DA3D03F">
        <w:tblPrEx>
          <w:tblCellMar>
            <w:top w:w="0" w:type="dxa"/>
            <w:left w:w="108" w:type="dxa"/>
            <w:bottom w:w="0" w:type="dxa"/>
            <w:right w:w="108" w:type="dxa"/>
          </w:tblCellMar>
        </w:tblPrEx>
        <w:trPr>
          <w:trHeight w:val="574" w:hRule="atLeast"/>
        </w:trPr>
        <w:tc>
          <w:tcPr>
            <w:tcW w:w="1559" w:type="dxa"/>
          </w:tcPr>
          <w:p w14:paraId="711EF22F">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副组长：</w:t>
            </w:r>
          </w:p>
        </w:tc>
        <w:tc>
          <w:tcPr>
            <w:tcW w:w="1559" w:type="dxa"/>
            <w:vAlign w:val="top"/>
          </w:tcPr>
          <w:p w14:paraId="215683DF">
            <w:pPr>
              <w:widowControl/>
              <w:spacing w:line="360" w:lineRule="exact"/>
              <w:jc w:val="left"/>
              <w:rPr>
                <w:rFonts w:hint="eastAsia" w:ascii="仿宋" w:hAnsi="仿宋" w:eastAsia="仿宋" w:cs="宋体"/>
                <w:kern w:val="0"/>
                <w:sz w:val="32"/>
                <w:szCs w:val="32"/>
                <w:lang w:eastAsia="zh-CN"/>
              </w:rPr>
            </w:pPr>
            <w:r>
              <w:rPr>
                <w:rFonts w:ascii="仿宋" w:hAnsi="仿宋" w:eastAsia="仿宋" w:cs="宋体"/>
                <w:kern w:val="0"/>
                <w:sz w:val="32"/>
                <w:szCs w:val="32"/>
              </w:rPr>
              <w:t>陈佳钦</w:t>
            </w:r>
          </w:p>
        </w:tc>
        <w:tc>
          <w:tcPr>
            <w:tcW w:w="4820" w:type="dxa"/>
            <w:vAlign w:val="top"/>
          </w:tcPr>
          <w:p w14:paraId="7FF6C72E">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管委会副主任</w:t>
            </w:r>
          </w:p>
        </w:tc>
      </w:tr>
      <w:tr w14:paraId="172A6162">
        <w:tblPrEx>
          <w:tblCellMar>
            <w:top w:w="0" w:type="dxa"/>
            <w:left w:w="108" w:type="dxa"/>
            <w:bottom w:w="0" w:type="dxa"/>
            <w:right w:w="108" w:type="dxa"/>
          </w:tblCellMar>
        </w:tblPrEx>
        <w:trPr>
          <w:trHeight w:val="574" w:hRule="atLeast"/>
        </w:trPr>
        <w:tc>
          <w:tcPr>
            <w:tcW w:w="1559" w:type="dxa"/>
          </w:tcPr>
          <w:p w14:paraId="0974541B">
            <w:pPr>
              <w:widowControl/>
              <w:spacing w:line="360" w:lineRule="exact"/>
              <w:jc w:val="left"/>
              <w:rPr>
                <w:rFonts w:hint="eastAsia" w:ascii="仿宋" w:hAnsi="仿宋" w:eastAsia="仿宋" w:cs="宋体"/>
                <w:kern w:val="0"/>
                <w:sz w:val="32"/>
                <w:szCs w:val="32"/>
              </w:rPr>
            </w:pPr>
          </w:p>
        </w:tc>
        <w:tc>
          <w:tcPr>
            <w:tcW w:w="1559" w:type="dxa"/>
            <w:vAlign w:val="top"/>
          </w:tcPr>
          <w:p w14:paraId="26D2DA4E">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lang w:eastAsia="zh-CN"/>
              </w:rPr>
              <w:t>关雄兵</w:t>
            </w:r>
          </w:p>
        </w:tc>
        <w:tc>
          <w:tcPr>
            <w:tcW w:w="4820" w:type="dxa"/>
            <w:vAlign w:val="top"/>
          </w:tcPr>
          <w:p w14:paraId="375571F2">
            <w:pPr>
              <w:widowControl/>
              <w:tabs>
                <w:tab w:val="left" w:pos="3073"/>
              </w:tabs>
              <w:spacing w:line="36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管委会副主任</w:t>
            </w:r>
            <w:r>
              <w:rPr>
                <w:rFonts w:hint="eastAsia" w:ascii="仿宋" w:hAnsi="仿宋" w:eastAsia="仿宋" w:cs="宋体"/>
                <w:kern w:val="0"/>
                <w:sz w:val="32"/>
                <w:szCs w:val="32"/>
                <w:lang w:eastAsia="zh-CN"/>
              </w:rPr>
              <w:tab/>
            </w:r>
          </w:p>
        </w:tc>
      </w:tr>
      <w:tr w14:paraId="2D4607C5">
        <w:tblPrEx>
          <w:tblCellMar>
            <w:top w:w="0" w:type="dxa"/>
            <w:left w:w="108" w:type="dxa"/>
            <w:bottom w:w="0" w:type="dxa"/>
            <w:right w:w="108" w:type="dxa"/>
          </w:tblCellMar>
        </w:tblPrEx>
        <w:trPr>
          <w:trHeight w:val="574" w:hRule="atLeast"/>
        </w:trPr>
        <w:tc>
          <w:tcPr>
            <w:tcW w:w="1559" w:type="dxa"/>
          </w:tcPr>
          <w:p w14:paraId="2652F5B6">
            <w:pPr>
              <w:widowControl/>
              <w:spacing w:line="360" w:lineRule="exact"/>
              <w:jc w:val="left"/>
              <w:rPr>
                <w:rFonts w:ascii="仿宋" w:hAnsi="仿宋" w:eastAsia="仿宋" w:cs="宋体"/>
                <w:kern w:val="0"/>
                <w:sz w:val="32"/>
                <w:szCs w:val="32"/>
              </w:rPr>
            </w:pPr>
          </w:p>
        </w:tc>
        <w:tc>
          <w:tcPr>
            <w:tcW w:w="1559" w:type="dxa"/>
          </w:tcPr>
          <w:p w14:paraId="44C8E46B">
            <w:pPr>
              <w:widowControl/>
              <w:spacing w:line="360" w:lineRule="exact"/>
              <w:jc w:val="left"/>
              <w:rPr>
                <w:rFonts w:ascii="仿宋" w:hAnsi="仿宋" w:eastAsia="仿宋" w:cs="宋体"/>
                <w:kern w:val="0"/>
                <w:sz w:val="32"/>
                <w:szCs w:val="32"/>
              </w:rPr>
            </w:pPr>
            <w:r>
              <w:rPr>
                <w:rFonts w:ascii="仿宋" w:hAnsi="仿宋" w:eastAsia="仿宋" w:cs="宋体"/>
                <w:kern w:val="0"/>
                <w:sz w:val="32"/>
                <w:szCs w:val="32"/>
              </w:rPr>
              <w:t>冯水强</w:t>
            </w:r>
          </w:p>
        </w:tc>
        <w:tc>
          <w:tcPr>
            <w:tcW w:w="4820" w:type="dxa"/>
          </w:tcPr>
          <w:p w14:paraId="7DAC4D4E">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管委会副主任</w:t>
            </w:r>
          </w:p>
        </w:tc>
      </w:tr>
      <w:tr w14:paraId="64DBF496">
        <w:tblPrEx>
          <w:tblCellMar>
            <w:top w:w="0" w:type="dxa"/>
            <w:left w:w="108" w:type="dxa"/>
            <w:bottom w:w="0" w:type="dxa"/>
            <w:right w:w="108" w:type="dxa"/>
          </w:tblCellMar>
        </w:tblPrEx>
        <w:trPr>
          <w:trHeight w:val="574" w:hRule="atLeast"/>
        </w:trPr>
        <w:tc>
          <w:tcPr>
            <w:tcW w:w="1559" w:type="dxa"/>
          </w:tcPr>
          <w:p w14:paraId="0C60566A">
            <w:pPr>
              <w:widowControl/>
              <w:spacing w:line="360" w:lineRule="exact"/>
              <w:jc w:val="left"/>
              <w:rPr>
                <w:rFonts w:ascii="仿宋" w:hAnsi="仿宋" w:eastAsia="仿宋" w:cs="宋体"/>
                <w:kern w:val="0"/>
                <w:sz w:val="32"/>
                <w:szCs w:val="32"/>
              </w:rPr>
            </w:pPr>
          </w:p>
        </w:tc>
        <w:tc>
          <w:tcPr>
            <w:tcW w:w="1559" w:type="dxa"/>
          </w:tcPr>
          <w:p w14:paraId="23C8F9AB">
            <w:pPr>
              <w:widowControl/>
              <w:spacing w:line="360" w:lineRule="exact"/>
              <w:jc w:val="left"/>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黄建明</w:t>
            </w:r>
          </w:p>
        </w:tc>
        <w:tc>
          <w:tcPr>
            <w:tcW w:w="4820" w:type="dxa"/>
          </w:tcPr>
          <w:p w14:paraId="35EACBAA">
            <w:pPr>
              <w:widowControl/>
              <w:spacing w:line="36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管委会副主任</w:t>
            </w:r>
          </w:p>
        </w:tc>
      </w:tr>
      <w:tr w14:paraId="2CBB9046">
        <w:tblPrEx>
          <w:tblCellMar>
            <w:top w:w="0" w:type="dxa"/>
            <w:left w:w="108" w:type="dxa"/>
            <w:bottom w:w="0" w:type="dxa"/>
            <w:right w:w="108" w:type="dxa"/>
          </w:tblCellMar>
        </w:tblPrEx>
        <w:trPr>
          <w:trHeight w:val="574" w:hRule="atLeast"/>
        </w:trPr>
        <w:tc>
          <w:tcPr>
            <w:tcW w:w="1559" w:type="dxa"/>
          </w:tcPr>
          <w:p w14:paraId="71C7ACDA">
            <w:pPr>
              <w:widowControl/>
              <w:spacing w:line="360" w:lineRule="exact"/>
              <w:jc w:val="left"/>
              <w:rPr>
                <w:rFonts w:ascii="仿宋" w:hAnsi="仿宋" w:eastAsia="仿宋" w:cs="宋体"/>
                <w:kern w:val="0"/>
                <w:sz w:val="32"/>
                <w:szCs w:val="32"/>
              </w:rPr>
            </w:pPr>
          </w:p>
        </w:tc>
        <w:tc>
          <w:tcPr>
            <w:tcW w:w="1559" w:type="dxa"/>
            <w:vAlign w:val="top"/>
          </w:tcPr>
          <w:p w14:paraId="31AD7252">
            <w:pPr>
              <w:widowControl/>
              <w:spacing w:line="360" w:lineRule="exact"/>
              <w:jc w:val="left"/>
              <w:rPr>
                <w:rFonts w:ascii="仿宋" w:hAnsi="仿宋" w:eastAsia="仿宋" w:cs="宋体"/>
                <w:kern w:val="0"/>
                <w:sz w:val="32"/>
                <w:szCs w:val="32"/>
              </w:rPr>
            </w:pPr>
            <w:r>
              <w:rPr>
                <w:rFonts w:ascii="仿宋" w:hAnsi="仿宋" w:eastAsia="仿宋" w:cs="宋体"/>
                <w:kern w:val="0"/>
                <w:sz w:val="32"/>
                <w:szCs w:val="32"/>
              </w:rPr>
              <w:t>李</w:t>
            </w:r>
            <w:r>
              <w:rPr>
                <w:rFonts w:hint="eastAsia" w:ascii="仿宋" w:hAnsi="仿宋" w:eastAsia="仿宋" w:cs="宋体"/>
                <w:kern w:val="0"/>
                <w:sz w:val="32"/>
                <w:szCs w:val="32"/>
                <w:lang w:val="en-US" w:eastAsia="zh-CN"/>
              </w:rPr>
              <w:t xml:space="preserve">  </w:t>
            </w:r>
            <w:r>
              <w:rPr>
                <w:rFonts w:ascii="仿宋" w:hAnsi="仿宋" w:eastAsia="仿宋" w:cs="宋体"/>
                <w:kern w:val="0"/>
                <w:sz w:val="32"/>
                <w:szCs w:val="32"/>
              </w:rPr>
              <w:t>档</w:t>
            </w:r>
          </w:p>
        </w:tc>
        <w:tc>
          <w:tcPr>
            <w:tcW w:w="4820" w:type="dxa"/>
            <w:vAlign w:val="top"/>
          </w:tcPr>
          <w:p w14:paraId="254CFA73">
            <w:pPr>
              <w:widowControl/>
              <w:spacing w:line="36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管委会党委委员、公安分局局长</w:t>
            </w:r>
          </w:p>
        </w:tc>
      </w:tr>
      <w:tr w14:paraId="59B74E14">
        <w:tblPrEx>
          <w:tblCellMar>
            <w:top w:w="0" w:type="dxa"/>
            <w:left w:w="108" w:type="dxa"/>
            <w:bottom w:w="0" w:type="dxa"/>
            <w:right w:w="108" w:type="dxa"/>
          </w:tblCellMar>
        </w:tblPrEx>
        <w:trPr>
          <w:trHeight w:val="574" w:hRule="atLeast"/>
        </w:trPr>
        <w:tc>
          <w:tcPr>
            <w:tcW w:w="1559" w:type="dxa"/>
          </w:tcPr>
          <w:p w14:paraId="0907FD06">
            <w:pPr>
              <w:widowControl/>
              <w:spacing w:line="360" w:lineRule="exact"/>
              <w:jc w:val="left"/>
              <w:rPr>
                <w:rFonts w:ascii="仿宋" w:hAnsi="仿宋" w:eastAsia="仿宋" w:cs="宋体"/>
                <w:kern w:val="0"/>
                <w:sz w:val="32"/>
                <w:szCs w:val="32"/>
              </w:rPr>
            </w:pPr>
          </w:p>
        </w:tc>
        <w:tc>
          <w:tcPr>
            <w:tcW w:w="1559" w:type="dxa"/>
            <w:vAlign w:val="top"/>
          </w:tcPr>
          <w:p w14:paraId="2B489577">
            <w:pPr>
              <w:widowControl/>
              <w:spacing w:line="360" w:lineRule="exact"/>
              <w:jc w:val="left"/>
              <w:rPr>
                <w:rFonts w:ascii="仿宋" w:hAnsi="仿宋" w:eastAsia="仿宋" w:cs="宋体"/>
                <w:kern w:val="0"/>
                <w:sz w:val="32"/>
                <w:szCs w:val="32"/>
              </w:rPr>
            </w:pPr>
            <w:r>
              <w:rPr>
                <w:rFonts w:ascii="仿宋" w:hAnsi="仿宋" w:eastAsia="仿宋" w:cs="宋体"/>
                <w:kern w:val="0"/>
                <w:sz w:val="32"/>
                <w:szCs w:val="32"/>
              </w:rPr>
              <w:t>洪文健</w:t>
            </w:r>
          </w:p>
        </w:tc>
        <w:tc>
          <w:tcPr>
            <w:tcW w:w="4820" w:type="dxa"/>
            <w:vAlign w:val="top"/>
          </w:tcPr>
          <w:p w14:paraId="0E0D0E2E">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管委会副主任</w:t>
            </w:r>
          </w:p>
        </w:tc>
      </w:tr>
      <w:tr w14:paraId="17B195AE">
        <w:tblPrEx>
          <w:tblCellMar>
            <w:top w:w="0" w:type="dxa"/>
            <w:left w:w="108" w:type="dxa"/>
            <w:bottom w:w="0" w:type="dxa"/>
            <w:right w:w="108" w:type="dxa"/>
          </w:tblCellMar>
        </w:tblPrEx>
        <w:trPr>
          <w:trHeight w:val="574" w:hRule="atLeast"/>
        </w:trPr>
        <w:tc>
          <w:tcPr>
            <w:tcW w:w="1559" w:type="dxa"/>
            <w:vAlign w:val="top"/>
          </w:tcPr>
          <w:p w14:paraId="4A0B2A8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成</w:t>
            </w:r>
            <w:r>
              <w:rPr>
                <w:rFonts w:hint="eastAsia" w:ascii="宋体" w:hAnsi="宋体" w:cs="宋体"/>
                <w:kern w:val="0"/>
                <w:sz w:val="32"/>
                <w:szCs w:val="32"/>
              </w:rPr>
              <w:t> </w:t>
            </w:r>
            <w:r>
              <w:rPr>
                <w:rFonts w:hint="eastAsia" w:ascii="仿宋" w:hAnsi="仿宋" w:eastAsia="仿宋" w:cs="宋体"/>
                <w:kern w:val="0"/>
                <w:sz w:val="32"/>
                <w:szCs w:val="32"/>
              </w:rPr>
              <w:t>员：</w:t>
            </w:r>
          </w:p>
        </w:tc>
        <w:tc>
          <w:tcPr>
            <w:tcW w:w="1559" w:type="dxa"/>
            <w:vAlign w:val="top"/>
          </w:tcPr>
          <w:p w14:paraId="21F3DBA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关天石</w:t>
            </w:r>
          </w:p>
        </w:tc>
        <w:tc>
          <w:tcPr>
            <w:tcW w:w="4820" w:type="dxa"/>
            <w:vAlign w:val="top"/>
          </w:tcPr>
          <w:p w14:paraId="15CFF3B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区党政办办公室主任</w:t>
            </w:r>
          </w:p>
        </w:tc>
      </w:tr>
      <w:tr w14:paraId="52402D17">
        <w:tblPrEx>
          <w:tblCellMar>
            <w:top w:w="0" w:type="dxa"/>
            <w:left w:w="108" w:type="dxa"/>
            <w:bottom w:w="0" w:type="dxa"/>
            <w:right w:w="108" w:type="dxa"/>
          </w:tblCellMar>
        </w:tblPrEx>
        <w:trPr>
          <w:trHeight w:val="574" w:hRule="atLeast"/>
        </w:trPr>
        <w:tc>
          <w:tcPr>
            <w:tcW w:w="1559" w:type="dxa"/>
            <w:vAlign w:val="top"/>
          </w:tcPr>
          <w:p w14:paraId="71BFB948">
            <w:pPr>
              <w:widowControl/>
              <w:spacing w:line="360" w:lineRule="exact"/>
              <w:jc w:val="left"/>
              <w:rPr>
                <w:rFonts w:ascii="仿宋" w:hAnsi="仿宋" w:eastAsia="仿宋" w:cs="宋体"/>
                <w:kern w:val="0"/>
                <w:sz w:val="32"/>
                <w:szCs w:val="32"/>
              </w:rPr>
            </w:pPr>
          </w:p>
        </w:tc>
        <w:tc>
          <w:tcPr>
            <w:tcW w:w="1559" w:type="dxa"/>
            <w:vAlign w:val="top"/>
          </w:tcPr>
          <w:p w14:paraId="444D72FF">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黄计喜</w:t>
            </w:r>
          </w:p>
        </w:tc>
        <w:tc>
          <w:tcPr>
            <w:tcW w:w="4820" w:type="dxa"/>
            <w:vAlign w:val="top"/>
          </w:tcPr>
          <w:p w14:paraId="405BE0EF">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区监察局局长</w:t>
            </w:r>
          </w:p>
        </w:tc>
      </w:tr>
      <w:tr w14:paraId="1C27EFF2">
        <w:tblPrEx>
          <w:tblCellMar>
            <w:top w:w="0" w:type="dxa"/>
            <w:left w:w="108" w:type="dxa"/>
            <w:bottom w:w="0" w:type="dxa"/>
            <w:right w:w="108" w:type="dxa"/>
          </w:tblCellMar>
        </w:tblPrEx>
        <w:trPr>
          <w:trHeight w:val="574" w:hRule="atLeast"/>
        </w:trPr>
        <w:tc>
          <w:tcPr>
            <w:tcW w:w="1559" w:type="dxa"/>
            <w:vAlign w:val="top"/>
          </w:tcPr>
          <w:p w14:paraId="3C924EBF">
            <w:pPr>
              <w:widowControl/>
              <w:spacing w:line="360" w:lineRule="exact"/>
              <w:jc w:val="left"/>
              <w:rPr>
                <w:rFonts w:ascii="仿宋" w:hAnsi="仿宋" w:eastAsia="仿宋" w:cs="宋体"/>
                <w:kern w:val="0"/>
                <w:sz w:val="32"/>
                <w:szCs w:val="32"/>
              </w:rPr>
            </w:pPr>
          </w:p>
        </w:tc>
        <w:tc>
          <w:tcPr>
            <w:tcW w:w="1559" w:type="dxa"/>
            <w:vAlign w:val="top"/>
          </w:tcPr>
          <w:p w14:paraId="0DA92406">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司徒奕彪</w:t>
            </w:r>
          </w:p>
        </w:tc>
        <w:tc>
          <w:tcPr>
            <w:tcW w:w="4820" w:type="dxa"/>
            <w:vAlign w:val="top"/>
          </w:tcPr>
          <w:p w14:paraId="507C96F0">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区经济发展局局长</w:t>
            </w:r>
          </w:p>
        </w:tc>
      </w:tr>
      <w:tr w14:paraId="3B122B22">
        <w:tblPrEx>
          <w:tblCellMar>
            <w:top w:w="0" w:type="dxa"/>
            <w:left w:w="108" w:type="dxa"/>
            <w:bottom w:w="0" w:type="dxa"/>
            <w:right w:w="108" w:type="dxa"/>
          </w:tblCellMar>
        </w:tblPrEx>
        <w:trPr>
          <w:trHeight w:val="574" w:hRule="atLeast"/>
        </w:trPr>
        <w:tc>
          <w:tcPr>
            <w:tcW w:w="1559" w:type="dxa"/>
            <w:vAlign w:val="top"/>
          </w:tcPr>
          <w:p w14:paraId="3AE050A9">
            <w:pPr>
              <w:widowControl/>
              <w:spacing w:line="360" w:lineRule="exact"/>
              <w:jc w:val="left"/>
              <w:rPr>
                <w:rFonts w:ascii="仿宋" w:hAnsi="仿宋" w:eastAsia="仿宋" w:cs="宋体"/>
                <w:kern w:val="0"/>
                <w:sz w:val="32"/>
                <w:szCs w:val="32"/>
              </w:rPr>
            </w:pPr>
          </w:p>
        </w:tc>
        <w:tc>
          <w:tcPr>
            <w:tcW w:w="1559" w:type="dxa"/>
            <w:vAlign w:val="top"/>
          </w:tcPr>
          <w:p w14:paraId="593072D0">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阮晓峰</w:t>
            </w:r>
          </w:p>
        </w:tc>
        <w:tc>
          <w:tcPr>
            <w:tcW w:w="4820" w:type="dxa"/>
            <w:vAlign w:val="top"/>
          </w:tcPr>
          <w:p w14:paraId="3C5DF5B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区财政局局长</w:t>
            </w:r>
          </w:p>
        </w:tc>
      </w:tr>
      <w:tr w14:paraId="3A1F2388">
        <w:tblPrEx>
          <w:tblCellMar>
            <w:top w:w="0" w:type="dxa"/>
            <w:left w:w="108" w:type="dxa"/>
            <w:bottom w:w="0" w:type="dxa"/>
            <w:right w:w="108" w:type="dxa"/>
          </w:tblCellMar>
        </w:tblPrEx>
        <w:trPr>
          <w:trHeight w:val="574" w:hRule="atLeast"/>
        </w:trPr>
        <w:tc>
          <w:tcPr>
            <w:tcW w:w="1559" w:type="dxa"/>
            <w:vAlign w:val="top"/>
          </w:tcPr>
          <w:p w14:paraId="4D951957">
            <w:pPr>
              <w:widowControl/>
              <w:spacing w:line="360" w:lineRule="exact"/>
              <w:jc w:val="left"/>
              <w:rPr>
                <w:rFonts w:ascii="仿宋" w:hAnsi="仿宋" w:eastAsia="仿宋" w:cs="宋体"/>
                <w:kern w:val="0"/>
                <w:sz w:val="32"/>
                <w:szCs w:val="32"/>
              </w:rPr>
            </w:pPr>
          </w:p>
        </w:tc>
        <w:tc>
          <w:tcPr>
            <w:tcW w:w="1559" w:type="dxa"/>
            <w:vAlign w:val="top"/>
          </w:tcPr>
          <w:p w14:paraId="6F0071DB">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许世满 </w:t>
            </w:r>
          </w:p>
        </w:tc>
        <w:tc>
          <w:tcPr>
            <w:tcW w:w="4820" w:type="dxa"/>
            <w:vAlign w:val="top"/>
          </w:tcPr>
          <w:p w14:paraId="08186F68">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区规划建设和交通局局长</w:t>
            </w:r>
          </w:p>
        </w:tc>
      </w:tr>
      <w:tr w14:paraId="41E3562F">
        <w:tblPrEx>
          <w:tblCellMar>
            <w:top w:w="0" w:type="dxa"/>
            <w:left w:w="108" w:type="dxa"/>
            <w:bottom w:w="0" w:type="dxa"/>
            <w:right w:w="108" w:type="dxa"/>
          </w:tblCellMar>
        </w:tblPrEx>
        <w:trPr>
          <w:trHeight w:val="574" w:hRule="atLeast"/>
        </w:trPr>
        <w:tc>
          <w:tcPr>
            <w:tcW w:w="1559" w:type="dxa"/>
            <w:vAlign w:val="top"/>
          </w:tcPr>
          <w:p w14:paraId="51C9CF3B">
            <w:pPr>
              <w:widowControl/>
              <w:spacing w:line="360" w:lineRule="exact"/>
              <w:jc w:val="left"/>
              <w:rPr>
                <w:rFonts w:ascii="仿宋" w:hAnsi="仿宋" w:eastAsia="仿宋" w:cs="宋体"/>
                <w:kern w:val="0"/>
                <w:sz w:val="32"/>
                <w:szCs w:val="32"/>
              </w:rPr>
            </w:pPr>
          </w:p>
        </w:tc>
        <w:tc>
          <w:tcPr>
            <w:tcW w:w="1559" w:type="dxa"/>
            <w:vAlign w:val="top"/>
          </w:tcPr>
          <w:p w14:paraId="4DD62862">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邱健俊</w:t>
            </w:r>
          </w:p>
        </w:tc>
        <w:tc>
          <w:tcPr>
            <w:tcW w:w="4820" w:type="dxa"/>
            <w:vAlign w:val="top"/>
          </w:tcPr>
          <w:p w14:paraId="5021C8B3">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市国土资源局高新区分局局长</w:t>
            </w:r>
          </w:p>
        </w:tc>
      </w:tr>
      <w:tr w14:paraId="0117A07F">
        <w:tblPrEx>
          <w:tblCellMar>
            <w:top w:w="0" w:type="dxa"/>
            <w:left w:w="108" w:type="dxa"/>
            <w:bottom w:w="0" w:type="dxa"/>
            <w:right w:w="108" w:type="dxa"/>
          </w:tblCellMar>
        </w:tblPrEx>
        <w:trPr>
          <w:trHeight w:val="574" w:hRule="atLeast"/>
        </w:trPr>
        <w:tc>
          <w:tcPr>
            <w:tcW w:w="1559" w:type="dxa"/>
            <w:vAlign w:val="top"/>
          </w:tcPr>
          <w:p w14:paraId="757A8A83">
            <w:pPr>
              <w:widowControl/>
              <w:spacing w:line="360" w:lineRule="exact"/>
              <w:jc w:val="left"/>
              <w:rPr>
                <w:rFonts w:ascii="仿宋" w:hAnsi="仿宋" w:eastAsia="仿宋" w:cs="宋体"/>
                <w:kern w:val="0"/>
                <w:sz w:val="32"/>
                <w:szCs w:val="32"/>
              </w:rPr>
            </w:pPr>
          </w:p>
        </w:tc>
        <w:tc>
          <w:tcPr>
            <w:tcW w:w="1559" w:type="dxa"/>
            <w:vAlign w:val="top"/>
          </w:tcPr>
          <w:p w14:paraId="1E1FFEDF">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温雄</w:t>
            </w:r>
          </w:p>
        </w:tc>
        <w:tc>
          <w:tcPr>
            <w:tcW w:w="4820" w:type="dxa"/>
            <w:vAlign w:val="top"/>
          </w:tcPr>
          <w:p w14:paraId="41FD1BE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市环境保护局高新分局局长</w:t>
            </w:r>
          </w:p>
        </w:tc>
      </w:tr>
      <w:tr w14:paraId="759DD901">
        <w:tblPrEx>
          <w:tblCellMar>
            <w:top w:w="0" w:type="dxa"/>
            <w:left w:w="108" w:type="dxa"/>
            <w:bottom w:w="0" w:type="dxa"/>
            <w:right w:w="108" w:type="dxa"/>
          </w:tblCellMar>
        </w:tblPrEx>
        <w:trPr>
          <w:trHeight w:val="574" w:hRule="atLeast"/>
        </w:trPr>
        <w:tc>
          <w:tcPr>
            <w:tcW w:w="1559" w:type="dxa"/>
            <w:vAlign w:val="top"/>
          </w:tcPr>
          <w:p w14:paraId="467CD13D">
            <w:pPr>
              <w:widowControl/>
              <w:spacing w:line="360" w:lineRule="exact"/>
              <w:jc w:val="left"/>
              <w:rPr>
                <w:rFonts w:ascii="仿宋" w:hAnsi="仿宋" w:eastAsia="仿宋" w:cs="宋体"/>
                <w:kern w:val="0"/>
                <w:sz w:val="32"/>
                <w:szCs w:val="32"/>
              </w:rPr>
            </w:pPr>
          </w:p>
        </w:tc>
        <w:tc>
          <w:tcPr>
            <w:tcW w:w="1559" w:type="dxa"/>
            <w:vAlign w:val="top"/>
          </w:tcPr>
          <w:p w14:paraId="0B26B279">
            <w:pPr>
              <w:widowControl/>
              <w:spacing w:line="360" w:lineRule="exact"/>
              <w:jc w:val="left"/>
              <w:rPr>
                <w:rFonts w:ascii="仿宋" w:hAnsi="仿宋" w:eastAsia="仿宋" w:cs="宋体"/>
                <w:kern w:val="0"/>
                <w:sz w:val="32"/>
                <w:szCs w:val="32"/>
              </w:rPr>
            </w:pPr>
          </w:p>
        </w:tc>
        <w:tc>
          <w:tcPr>
            <w:tcW w:w="4820" w:type="dxa"/>
            <w:vAlign w:val="top"/>
          </w:tcPr>
          <w:p w14:paraId="188ABA4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市公安局高新分局</w:t>
            </w:r>
            <w:r>
              <w:rPr>
                <w:rFonts w:hint="eastAsia" w:ascii="仿宋" w:hAnsi="仿宋" w:eastAsia="仿宋" w:cs="宋体"/>
                <w:kern w:val="0"/>
                <w:sz w:val="32"/>
                <w:szCs w:val="32"/>
                <w:lang w:eastAsia="zh-CN"/>
              </w:rPr>
              <w:t>副</w:t>
            </w:r>
            <w:r>
              <w:rPr>
                <w:rFonts w:hint="eastAsia" w:ascii="仿宋" w:hAnsi="仿宋" w:eastAsia="仿宋" w:cs="宋体"/>
                <w:kern w:val="0"/>
                <w:sz w:val="32"/>
                <w:szCs w:val="32"/>
              </w:rPr>
              <w:t>局长</w:t>
            </w:r>
          </w:p>
        </w:tc>
      </w:tr>
      <w:tr w14:paraId="71350D2B">
        <w:tblPrEx>
          <w:tblCellMar>
            <w:top w:w="0" w:type="dxa"/>
            <w:left w:w="108" w:type="dxa"/>
            <w:bottom w:w="0" w:type="dxa"/>
            <w:right w:w="108" w:type="dxa"/>
          </w:tblCellMar>
        </w:tblPrEx>
        <w:trPr>
          <w:trHeight w:val="574" w:hRule="atLeast"/>
        </w:trPr>
        <w:tc>
          <w:tcPr>
            <w:tcW w:w="1559" w:type="dxa"/>
            <w:vAlign w:val="top"/>
          </w:tcPr>
          <w:p w14:paraId="1C3823CE">
            <w:pPr>
              <w:widowControl/>
              <w:spacing w:line="360" w:lineRule="exact"/>
              <w:jc w:val="left"/>
              <w:rPr>
                <w:rFonts w:ascii="仿宋" w:hAnsi="仿宋" w:eastAsia="仿宋" w:cs="宋体"/>
                <w:kern w:val="0"/>
                <w:sz w:val="32"/>
                <w:szCs w:val="32"/>
              </w:rPr>
            </w:pPr>
          </w:p>
        </w:tc>
        <w:tc>
          <w:tcPr>
            <w:tcW w:w="1559" w:type="dxa"/>
            <w:vAlign w:val="top"/>
          </w:tcPr>
          <w:p w14:paraId="6C353B45">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rPr>
              <w:t>林荣新</w:t>
            </w:r>
          </w:p>
        </w:tc>
        <w:tc>
          <w:tcPr>
            <w:tcW w:w="4820" w:type="dxa"/>
            <w:vAlign w:val="top"/>
          </w:tcPr>
          <w:p w14:paraId="70D34247">
            <w:pPr>
              <w:widowControl/>
              <w:spacing w:line="360" w:lineRule="exact"/>
              <w:jc w:val="left"/>
              <w:rPr>
                <w:rFonts w:ascii="仿宋" w:hAnsi="仿宋" w:eastAsia="仿宋" w:cs="宋体"/>
                <w:kern w:val="0"/>
                <w:sz w:val="32"/>
                <w:szCs w:val="32"/>
              </w:rPr>
            </w:pPr>
            <w:r>
              <w:rPr>
                <w:rFonts w:hint="eastAsia" w:ascii="仿宋" w:hAnsi="仿宋" w:eastAsia="仿宋" w:cs="宋体"/>
                <w:kern w:val="0"/>
                <w:sz w:val="32"/>
                <w:szCs w:val="32"/>
                <w:lang w:eastAsia="zh-CN"/>
              </w:rPr>
              <w:t>区</w:t>
            </w:r>
            <w:r>
              <w:rPr>
                <w:rFonts w:hint="eastAsia" w:ascii="仿宋" w:hAnsi="仿宋" w:eastAsia="仿宋" w:cs="宋体"/>
                <w:kern w:val="0"/>
                <w:sz w:val="32"/>
                <w:szCs w:val="32"/>
              </w:rPr>
              <w:t>农村事务局</w:t>
            </w:r>
          </w:p>
        </w:tc>
      </w:tr>
      <w:tr w14:paraId="592B9DA2">
        <w:tblPrEx>
          <w:tblCellMar>
            <w:top w:w="0" w:type="dxa"/>
            <w:left w:w="108" w:type="dxa"/>
            <w:bottom w:w="0" w:type="dxa"/>
            <w:right w:w="108" w:type="dxa"/>
          </w:tblCellMar>
        </w:tblPrEx>
        <w:trPr>
          <w:trHeight w:val="574" w:hRule="atLeast"/>
        </w:trPr>
        <w:tc>
          <w:tcPr>
            <w:tcW w:w="1559" w:type="dxa"/>
            <w:vAlign w:val="top"/>
          </w:tcPr>
          <w:p w14:paraId="7129D76F">
            <w:pPr>
              <w:widowControl/>
              <w:spacing w:line="360" w:lineRule="exact"/>
              <w:jc w:val="left"/>
              <w:rPr>
                <w:rFonts w:ascii="仿宋" w:hAnsi="仿宋" w:eastAsia="仿宋" w:cs="宋体"/>
                <w:kern w:val="0"/>
                <w:sz w:val="32"/>
                <w:szCs w:val="32"/>
              </w:rPr>
            </w:pPr>
          </w:p>
        </w:tc>
        <w:tc>
          <w:tcPr>
            <w:tcW w:w="1559" w:type="dxa"/>
            <w:vAlign w:val="top"/>
          </w:tcPr>
          <w:p w14:paraId="2FA24A7E">
            <w:pPr>
              <w:widowControl/>
              <w:spacing w:line="360" w:lineRule="exact"/>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梁鸿武</w:t>
            </w:r>
          </w:p>
        </w:tc>
        <w:tc>
          <w:tcPr>
            <w:tcW w:w="4820" w:type="dxa"/>
            <w:vAlign w:val="top"/>
          </w:tcPr>
          <w:p w14:paraId="2C7B5BFB">
            <w:pPr>
              <w:widowControl/>
              <w:spacing w:line="360" w:lineRule="exact"/>
              <w:rPr>
                <w:rFonts w:hint="eastAsia" w:ascii="仿宋" w:hAnsi="仿宋" w:eastAsia="仿宋" w:cs="宋体"/>
                <w:kern w:val="0"/>
                <w:sz w:val="32"/>
                <w:szCs w:val="32"/>
                <w:lang w:eastAsia="zh-CN"/>
              </w:rPr>
            </w:pPr>
            <w:r>
              <w:rPr>
                <w:rFonts w:hint="eastAsia" w:ascii="仿宋" w:hAnsi="仿宋" w:eastAsia="仿宋" w:cs="宋体"/>
                <w:kern w:val="0"/>
                <w:sz w:val="32"/>
                <w:szCs w:val="32"/>
              </w:rPr>
              <w:t>区教育文体卫生局</w:t>
            </w:r>
          </w:p>
        </w:tc>
      </w:tr>
      <w:tr w14:paraId="46E3287D">
        <w:tblPrEx>
          <w:tblCellMar>
            <w:top w:w="0" w:type="dxa"/>
            <w:left w:w="108" w:type="dxa"/>
            <w:bottom w:w="0" w:type="dxa"/>
            <w:right w:w="108" w:type="dxa"/>
          </w:tblCellMar>
        </w:tblPrEx>
        <w:trPr>
          <w:trHeight w:val="574" w:hRule="atLeast"/>
        </w:trPr>
        <w:tc>
          <w:tcPr>
            <w:tcW w:w="1559" w:type="dxa"/>
            <w:vAlign w:val="top"/>
          </w:tcPr>
          <w:p w14:paraId="2A74285C">
            <w:pPr>
              <w:widowControl/>
              <w:spacing w:line="360" w:lineRule="exact"/>
              <w:jc w:val="left"/>
              <w:rPr>
                <w:rFonts w:ascii="仿宋" w:hAnsi="仿宋" w:eastAsia="仿宋" w:cs="宋体"/>
                <w:kern w:val="0"/>
                <w:sz w:val="32"/>
                <w:szCs w:val="32"/>
              </w:rPr>
            </w:pPr>
          </w:p>
        </w:tc>
        <w:tc>
          <w:tcPr>
            <w:tcW w:w="1559" w:type="dxa"/>
            <w:vAlign w:val="top"/>
          </w:tcPr>
          <w:p w14:paraId="39E074A3">
            <w:pPr>
              <w:widowControl/>
              <w:spacing w:line="360" w:lineRule="exact"/>
              <w:jc w:val="left"/>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梁业周</w:t>
            </w:r>
          </w:p>
        </w:tc>
        <w:tc>
          <w:tcPr>
            <w:tcW w:w="4820" w:type="dxa"/>
            <w:vAlign w:val="top"/>
          </w:tcPr>
          <w:p w14:paraId="335AB9F1">
            <w:pPr>
              <w:widowControl/>
              <w:spacing w:line="360" w:lineRule="exact"/>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区综合行政执法局</w:t>
            </w:r>
          </w:p>
        </w:tc>
      </w:tr>
      <w:tr w14:paraId="59A51266">
        <w:tblPrEx>
          <w:tblCellMar>
            <w:top w:w="0" w:type="dxa"/>
            <w:left w:w="108" w:type="dxa"/>
            <w:bottom w:w="0" w:type="dxa"/>
            <w:right w:w="108" w:type="dxa"/>
          </w:tblCellMar>
        </w:tblPrEx>
        <w:trPr>
          <w:trHeight w:val="574" w:hRule="atLeast"/>
        </w:trPr>
        <w:tc>
          <w:tcPr>
            <w:tcW w:w="1559" w:type="dxa"/>
            <w:vAlign w:val="top"/>
          </w:tcPr>
          <w:p w14:paraId="456B1BA2">
            <w:pPr>
              <w:widowControl/>
              <w:spacing w:line="360" w:lineRule="exact"/>
              <w:jc w:val="left"/>
              <w:rPr>
                <w:rFonts w:ascii="仿宋" w:hAnsi="仿宋" w:eastAsia="仿宋" w:cs="宋体"/>
                <w:kern w:val="0"/>
                <w:sz w:val="32"/>
                <w:szCs w:val="32"/>
              </w:rPr>
            </w:pPr>
          </w:p>
        </w:tc>
        <w:tc>
          <w:tcPr>
            <w:tcW w:w="1559" w:type="dxa"/>
            <w:vAlign w:val="top"/>
          </w:tcPr>
          <w:p w14:paraId="681CB788">
            <w:pPr>
              <w:widowControl/>
              <w:spacing w:line="360" w:lineRule="exact"/>
              <w:jc w:val="both"/>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冯永放</w:t>
            </w:r>
          </w:p>
        </w:tc>
        <w:tc>
          <w:tcPr>
            <w:tcW w:w="4820" w:type="dxa"/>
            <w:vAlign w:val="top"/>
          </w:tcPr>
          <w:p w14:paraId="52186704">
            <w:pPr>
              <w:widowControl/>
              <w:spacing w:line="360" w:lineRule="exact"/>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区组织人事局</w:t>
            </w:r>
          </w:p>
        </w:tc>
      </w:tr>
    </w:tbl>
    <w:p w14:paraId="0B4FFC84">
      <w:pPr>
        <w:widowControl/>
        <w:jc w:val="left"/>
        <w:rPr>
          <w:rFonts w:hint="eastAsia" w:ascii="仿宋" w:hAnsi="仿宋" w:eastAsia="仿宋" w:cs="宋体"/>
          <w:kern w:val="0"/>
          <w:sz w:val="32"/>
          <w:szCs w:val="32"/>
        </w:rPr>
      </w:pPr>
      <w:r>
        <w:rPr>
          <w:rFonts w:hint="eastAsia" w:ascii="仿宋" w:hAnsi="仿宋" w:eastAsia="仿宋" w:cs="宋体"/>
          <w:kern w:val="0"/>
          <w:sz w:val="32"/>
          <w:szCs w:val="32"/>
        </w:rPr>
        <w:t>阳江高新区水污染防治工作领导小组办公室设在市环保局</w:t>
      </w:r>
    </w:p>
    <w:p w14:paraId="4C422AB1">
      <w:pPr>
        <w:widowControl/>
        <w:jc w:val="left"/>
        <w:rPr>
          <w:rFonts w:ascii="微软雅黑" w:hAnsi="微软雅黑" w:eastAsia="微软雅黑" w:cs="宋体"/>
          <w:kern w:val="0"/>
          <w:sz w:val="32"/>
          <w:szCs w:val="32"/>
        </w:rPr>
      </w:pPr>
      <w:r>
        <w:rPr>
          <w:rFonts w:hint="eastAsia" w:ascii="仿宋" w:hAnsi="仿宋" w:eastAsia="仿宋" w:cs="宋体"/>
          <w:kern w:val="0"/>
          <w:sz w:val="32"/>
          <w:szCs w:val="32"/>
        </w:rPr>
        <w:t>高新分局，办公室主任由市环保局高新分局温雄局长兼任。</w:t>
      </w:r>
    </w:p>
    <w:p w14:paraId="291F8189">
      <w:pPr>
        <w:widowControl/>
        <w:shd w:val="clear" w:color="auto" w:fill="FFFFFF"/>
        <w:spacing w:line="280" w:lineRule="exact"/>
        <w:ind w:firstLine="482"/>
        <w:jc w:val="left"/>
        <w:rPr>
          <w:rFonts w:ascii="仿宋_GB2312" w:hAnsi="Calibri" w:eastAsia="仿宋_GB2312"/>
          <w:kern w:val="2"/>
        </w:rPr>
        <w:sectPr>
          <w:footerReference r:id="rId5" w:type="default"/>
          <w:pgSz w:w="11906" w:h="16838"/>
          <w:pgMar w:top="1440" w:right="1800" w:bottom="1440" w:left="1800" w:header="851" w:footer="992" w:gutter="0"/>
          <w:pgNumType w:start="1"/>
          <w:cols w:space="425" w:num="1"/>
          <w:docGrid w:type="lines" w:linePitch="312" w:charSpace="0"/>
        </w:sectPr>
      </w:pPr>
      <w:r>
        <w:rPr>
          <w:rFonts w:ascii="微软雅黑" w:hAnsi="微软雅黑" w:eastAsia="微软雅黑" w:cs="宋体"/>
          <w:kern w:val="0"/>
          <w:sz w:val="32"/>
          <w:szCs w:val="32"/>
        </w:rPr>
        <w:br w:type="page"/>
      </w:r>
    </w:p>
    <w:p w14:paraId="1A9AD9DA">
      <w:pPr>
        <w:pStyle w:val="2"/>
        <w:spacing w:before="0" w:after="0"/>
        <w:rPr>
          <w:rFonts w:ascii="仿宋_GB2312" w:eastAsia="仿宋_GB2312"/>
        </w:rPr>
      </w:pPr>
      <w:bookmarkStart w:id="16" w:name="_Toc491959434"/>
      <w:bookmarkStart w:id="17" w:name="_Toc440895516"/>
      <w:bookmarkStart w:id="18" w:name="_Toc435782439"/>
      <w:bookmarkStart w:id="19" w:name="_Toc427670714"/>
      <w:r>
        <w:rPr>
          <w:rFonts w:hint="eastAsia" w:ascii="仿宋_GB2312" w:eastAsia="仿宋_GB2312"/>
        </w:rPr>
        <w:t>附表</w:t>
      </w:r>
      <w:bookmarkEnd w:id="16"/>
    </w:p>
    <w:p w14:paraId="0340E07E">
      <w:pPr>
        <w:pStyle w:val="61"/>
        <w:spacing w:beforeLines="0" w:afterLines="0"/>
        <w:rPr>
          <w:rFonts w:ascii="仿宋_GB2312"/>
        </w:rPr>
      </w:pPr>
      <w:r>
        <w:rPr>
          <w:rFonts w:hint="eastAsia" w:ascii="仿宋_GB2312"/>
        </w:rPr>
        <w:t>附表1  阳江高新区地表水环境功能区划一览表</w:t>
      </w:r>
      <w:bookmarkEnd w:id="17"/>
    </w:p>
    <w:tbl>
      <w:tblPr>
        <w:tblStyle w:val="3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910"/>
        <w:gridCol w:w="1488"/>
        <w:gridCol w:w="1032"/>
        <w:gridCol w:w="989"/>
        <w:gridCol w:w="1581"/>
        <w:gridCol w:w="1842"/>
        <w:gridCol w:w="2468"/>
        <w:gridCol w:w="3093"/>
      </w:tblGrid>
      <w:tr w14:paraId="7125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71" w:type="dxa"/>
            <w:vAlign w:val="center"/>
          </w:tcPr>
          <w:p w14:paraId="4C6DE124">
            <w:pPr>
              <w:pStyle w:val="59"/>
              <w:spacing w:beforeLines="0" w:afterLines="0" w:line="280" w:lineRule="exact"/>
              <w:rPr>
                <w:rFonts w:ascii="仿宋_GB2312" w:eastAsia="仿宋_GB2312"/>
                <w:b/>
              </w:rPr>
            </w:pPr>
            <w:r>
              <w:rPr>
                <w:rFonts w:hint="eastAsia" w:ascii="仿宋_GB2312" w:eastAsia="仿宋_GB2312"/>
                <w:b/>
              </w:rPr>
              <w:t>序号</w:t>
            </w:r>
          </w:p>
        </w:tc>
        <w:tc>
          <w:tcPr>
            <w:tcW w:w="910" w:type="dxa"/>
            <w:vAlign w:val="center"/>
          </w:tcPr>
          <w:p w14:paraId="62297F56">
            <w:pPr>
              <w:pStyle w:val="59"/>
              <w:spacing w:beforeLines="0" w:afterLines="0" w:line="280" w:lineRule="exact"/>
              <w:rPr>
                <w:rFonts w:ascii="仿宋_GB2312" w:eastAsia="仿宋_GB2312"/>
                <w:b/>
              </w:rPr>
            </w:pPr>
            <w:r>
              <w:rPr>
                <w:rFonts w:hint="eastAsia" w:ascii="仿宋_GB2312" w:eastAsia="仿宋_GB2312"/>
                <w:b/>
              </w:rPr>
              <w:t>类别</w:t>
            </w:r>
          </w:p>
        </w:tc>
        <w:tc>
          <w:tcPr>
            <w:tcW w:w="1488" w:type="dxa"/>
            <w:vAlign w:val="center"/>
          </w:tcPr>
          <w:p w14:paraId="32A2A709">
            <w:pPr>
              <w:pStyle w:val="59"/>
              <w:spacing w:beforeLines="0" w:afterLines="0" w:line="280" w:lineRule="exact"/>
              <w:rPr>
                <w:rFonts w:ascii="仿宋_GB2312" w:eastAsia="仿宋_GB2312"/>
                <w:b/>
              </w:rPr>
            </w:pPr>
            <w:r>
              <w:rPr>
                <w:rFonts w:hint="eastAsia" w:ascii="仿宋_GB2312" w:eastAsia="仿宋_GB2312"/>
                <w:b/>
              </w:rPr>
              <w:t>水体名称</w:t>
            </w:r>
          </w:p>
        </w:tc>
        <w:tc>
          <w:tcPr>
            <w:tcW w:w="1032" w:type="dxa"/>
            <w:vAlign w:val="center"/>
          </w:tcPr>
          <w:p w14:paraId="02361D68">
            <w:pPr>
              <w:pStyle w:val="59"/>
              <w:spacing w:beforeLines="0" w:afterLines="0" w:line="280" w:lineRule="exact"/>
              <w:rPr>
                <w:rFonts w:ascii="仿宋_GB2312" w:eastAsia="仿宋_GB2312"/>
                <w:b/>
              </w:rPr>
            </w:pPr>
            <w:r>
              <w:rPr>
                <w:rFonts w:hint="eastAsia" w:ascii="仿宋_GB2312" w:eastAsia="仿宋_GB2312"/>
                <w:b/>
              </w:rPr>
              <w:t>水系</w:t>
            </w:r>
          </w:p>
        </w:tc>
        <w:tc>
          <w:tcPr>
            <w:tcW w:w="989" w:type="dxa"/>
            <w:vAlign w:val="center"/>
          </w:tcPr>
          <w:p w14:paraId="402B0AAF">
            <w:pPr>
              <w:pStyle w:val="59"/>
              <w:spacing w:beforeLines="0" w:afterLines="0" w:line="280" w:lineRule="exact"/>
              <w:rPr>
                <w:rFonts w:ascii="仿宋_GB2312" w:eastAsia="仿宋_GB2312"/>
                <w:b/>
              </w:rPr>
            </w:pPr>
            <w:r>
              <w:rPr>
                <w:rFonts w:hint="eastAsia" w:ascii="仿宋_GB2312" w:eastAsia="仿宋_GB2312"/>
                <w:b/>
              </w:rPr>
              <w:t>功能</w:t>
            </w:r>
          </w:p>
          <w:p w14:paraId="066DB1BB">
            <w:pPr>
              <w:pStyle w:val="59"/>
              <w:spacing w:beforeLines="0" w:afterLines="0" w:line="280" w:lineRule="exact"/>
              <w:rPr>
                <w:rFonts w:ascii="仿宋_GB2312" w:eastAsia="仿宋_GB2312"/>
                <w:b/>
              </w:rPr>
            </w:pPr>
            <w:r>
              <w:rPr>
                <w:rFonts w:hint="eastAsia" w:ascii="仿宋_GB2312" w:eastAsia="仿宋_GB2312"/>
                <w:b/>
              </w:rPr>
              <w:t>现状</w:t>
            </w:r>
          </w:p>
        </w:tc>
        <w:tc>
          <w:tcPr>
            <w:tcW w:w="1581" w:type="dxa"/>
            <w:vAlign w:val="center"/>
          </w:tcPr>
          <w:p w14:paraId="710B75A4">
            <w:pPr>
              <w:pStyle w:val="59"/>
              <w:spacing w:beforeLines="0" w:afterLines="0" w:line="280" w:lineRule="exact"/>
              <w:rPr>
                <w:rFonts w:ascii="仿宋_GB2312" w:eastAsia="仿宋_GB2312"/>
                <w:b/>
              </w:rPr>
            </w:pPr>
            <w:r>
              <w:rPr>
                <w:rFonts w:hint="eastAsia" w:ascii="仿宋_GB2312" w:eastAsia="仿宋_GB2312"/>
                <w:b/>
              </w:rPr>
              <w:t>水质</w:t>
            </w:r>
          </w:p>
          <w:p w14:paraId="15ED3B89">
            <w:pPr>
              <w:pStyle w:val="59"/>
              <w:spacing w:beforeLines="0" w:afterLines="0" w:line="280" w:lineRule="exact"/>
              <w:rPr>
                <w:rFonts w:ascii="仿宋_GB2312" w:eastAsia="仿宋_GB2312"/>
                <w:b/>
              </w:rPr>
            </w:pPr>
            <w:r>
              <w:rPr>
                <w:rFonts w:hint="eastAsia" w:ascii="仿宋_GB2312" w:eastAsia="仿宋_GB2312"/>
                <w:b/>
              </w:rPr>
              <w:t>目标</w:t>
            </w:r>
          </w:p>
        </w:tc>
        <w:tc>
          <w:tcPr>
            <w:tcW w:w="1842" w:type="dxa"/>
            <w:vAlign w:val="center"/>
          </w:tcPr>
          <w:p w14:paraId="42A7C518">
            <w:pPr>
              <w:pStyle w:val="59"/>
              <w:spacing w:beforeLines="0" w:afterLines="0" w:line="280" w:lineRule="exact"/>
              <w:rPr>
                <w:rFonts w:ascii="仿宋_GB2312" w:eastAsia="仿宋_GB2312"/>
                <w:b/>
              </w:rPr>
            </w:pPr>
            <w:r>
              <w:rPr>
                <w:rFonts w:hint="eastAsia" w:ascii="仿宋_GB2312" w:eastAsia="仿宋_GB2312"/>
                <w:b/>
              </w:rPr>
              <w:t>河长（km）或</w:t>
            </w:r>
          </w:p>
          <w:p w14:paraId="7BAC22EE">
            <w:pPr>
              <w:pStyle w:val="59"/>
              <w:spacing w:beforeLines="0" w:afterLines="0" w:line="280" w:lineRule="exact"/>
              <w:rPr>
                <w:rFonts w:ascii="仿宋_GB2312" w:eastAsia="仿宋_GB2312"/>
                <w:b/>
              </w:rPr>
            </w:pPr>
            <w:r>
              <w:rPr>
                <w:rFonts w:hint="eastAsia" w:ascii="仿宋_GB2312" w:eastAsia="仿宋_GB2312"/>
                <w:b/>
              </w:rPr>
              <w:t>库容（万m</w:t>
            </w:r>
            <w:r>
              <w:rPr>
                <w:rFonts w:hint="eastAsia" w:ascii="仿宋_GB2312" w:eastAsia="仿宋_GB2312"/>
                <w:b/>
                <w:vertAlign w:val="superscript"/>
              </w:rPr>
              <w:t>3</w:t>
            </w:r>
            <w:r>
              <w:rPr>
                <w:rFonts w:hint="eastAsia" w:ascii="仿宋_GB2312" w:eastAsia="仿宋_GB2312"/>
                <w:b/>
              </w:rPr>
              <w:t>）</w:t>
            </w:r>
          </w:p>
        </w:tc>
        <w:tc>
          <w:tcPr>
            <w:tcW w:w="2468" w:type="dxa"/>
            <w:vAlign w:val="center"/>
          </w:tcPr>
          <w:p w14:paraId="3D33DF78">
            <w:pPr>
              <w:pStyle w:val="59"/>
              <w:spacing w:beforeLines="0" w:afterLines="0" w:line="280" w:lineRule="exact"/>
              <w:rPr>
                <w:rFonts w:ascii="仿宋_GB2312" w:eastAsia="仿宋_GB2312"/>
                <w:b/>
              </w:rPr>
            </w:pPr>
            <w:r>
              <w:rPr>
                <w:rFonts w:hint="eastAsia" w:ascii="仿宋_GB2312" w:eastAsia="仿宋_GB2312"/>
                <w:b/>
              </w:rPr>
              <w:t>起点或位置</w:t>
            </w:r>
          </w:p>
        </w:tc>
        <w:tc>
          <w:tcPr>
            <w:tcW w:w="3093" w:type="dxa"/>
            <w:vAlign w:val="center"/>
          </w:tcPr>
          <w:p w14:paraId="3F750E6E">
            <w:pPr>
              <w:pStyle w:val="59"/>
              <w:spacing w:beforeLines="0" w:afterLines="0" w:line="280" w:lineRule="exact"/>
              <w:rPr>
                <w:rFonts w:ascii="仿宋_GB2312" w:eastAsia="仿宋_GB2312"/>
                <w:b/>
              </w:rPr>
            </w:pPr>
            <w:r>
              <w:rPr>
                <w:rFonts w:hint="eastAsia" w:ascii="仿宋_GB2312" w:eastAsia="仿宋_GB2312"/>
                <w:b/>
              </w:rPr>
              <w:t>终点</w:t>
            </w:r>
          </w:p>
        </w:tc>
      </w:tr>
      <w:tr w14:paraId="6960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dxa"/>
            <w:vAlign w:val="center"/>
          </w:tcPr>
          <w:p w14:paraId="00DA1127">
            <w:pPr>
              <w:pStyle w:val="59"/>
              <w:spacing w:beforeLines="0" w:afterLines="0" w:line="280" w:lineRule="exact"/>
              <w:rPr>
                <w:rFonts w:ascii="仿宋_GB2312" w:eastAsia="仿宋_GB2312"/>
              </w:rPr>
            </w:pPr>
            <w:r>
              <w:rPr>
                <w:rFonts w:hint="eastAsia" w:ascii="仿宋_GB2312" w:eastAsia="仿宋_GB2312"/>
              </w:rPr>
              <w:t>1</w:t>
            </w:r>
          </w:p>
        </w:tc>
        <w:tc>
          <w:tcPr>
            <w:tcW w:w="910" w:type="dxa"/>
            <w:vAlign w:val="center"/>
          </w:tcPr>
          <w:p w14:paraId="08A155A1">
            <w:pPr>
              <w:pStyle w:val="59"/>
              <w:spacing w:beforeLines="0" w:afterLines="0" w:line="280" w:lineRule="exact"/>
              <w:rPr>
                <w:rFonts w:ascii="仿宋_GB2312" w:eastAsia="仿宋_GB2312"/>
              </w:rPr>
            </w:pPr>
            <w:r>
              <w:rPr>
                <w:rFonts w:hint="eastAsia" w:ascii="仿宋_GB2312" w:eastAsia="仿宋_GB2312"/>
              </w:rPr>
              <w:t>水库</w:t>
            </w:r>
          </w:p>
        </w:tc>
        <w:tc>
          <w:tcPr>
            <w:tcW w:w="1488" w:type="dxa"/>
            <w:vAlign w:val="center"/>
          </w:tcPr>
          <w:p w14:paraId="1F6C1A0A">
            <w:pPr>
              <w:pStyle w:val="59"/>
              <w:spacing w:beforeLines="0" w:afterLines="0" w:line="280" w:lineRule="exact"/>
              <w:rPr>
                <w:rFonts w:ascii="仿宋_GB2312" w:eastAsia="仿宋_GB2312"/>
              </w:rPr>
            </w:pPr>
            <w:r>
              <w:rPr>
                <w:rFonts w:hint="eastAsia" w:ascii="仿宋_GB2312" w:eastAsia="仿宋_GB2312"/>
              </w:rPr>
              <w:t>银田水库</w:t>
            </w:r>
          </w:p>
        </w:tc>
        <w:tc>
          <w:tcPr>
            <w:tcW w:w="1032" w:type="dxa"/>
            <w:vAlign w:val="center"/>
          </w:tcPr>
          <w:p w14:paraId="4673F2BF">
            <w:pPr>
              <w:pStyle w:val="59"/>
              <w:spacing w:beforeLines="0" w:afterLines="0" w:line="280" w:lineRule="exact"/>
              <w:rPr>
                <w:rFonts w:ascii="仿宋_GB2312" w:eastAsia="仿宋_GB2312"/>
              </w:rPr>
            </w:pPr>
            <w:r>
              <w:rPr>
                <w:rFonts w:hint="eastAsia" w:ascii="仿宋_GB2312" w:eastAsia="仿宋_GB2312"/>
              </w:rPr>
              <w:t>漠阳江</w:t>
            </w:r>
          </w:p>
        </w:tc>
        <w:tc>
          <w:tcPr>
            <w:tcW w:w="989" w:type="dxa"/>
            <w:vAlign w:val="center"/>
          </w:tcPr>
          <w:p w14:paraId="46DB4E2E">
            <w:pPr>
              <w:pStyle w:val="59"/>
              <w:spacing w:beforeLines="0" w:afterLines="0" w:line="280" w:lineRule="exact"/>
              <w:rPr>
                <w:rFonts w:ascii="仿宋_GB2312" w:eastAsia="仿宋_GB2312"/>
              </w:rPr>
            </w:pPr>
            <w:r>
              <w:rPr>
                <w:rFonts w:hint="eastAsia" w:ascii="仿宋_GB2312" w:eastAsia="仿宋_GB2312"/>
              </w:rPr>
              <w:t>饮农</w:t>
            </w:r>
          </w:p>
        </w:tc>
        <w:tc>
          <w:tcPr>
            <w:tcW w:w="1581" w:type="dxa"/>
            <w:vAlign w:val="center"/>
          </w:tcPr>
          <w:p w14:paraId="2D1FB5BB">
            <w:pPr>
              <w:pStyle w:val="59"/>
              <w:spacing w:beforeLines="0" w:afterLines="0" w:line="280" w:lineRule="exact"/>
              <w:rPr>
                <w:rFonts w:ascii="仿宋_GB2312" w:eastAsia="仿宋_GB2312"/>
              </w:rPr>
            </w:pPr>
            <w:r>
              <w:rPr>
                <w:rFonts w:hint="eastAsia" w:ascii="仿宋_GB2312" w:eastAsia="仿宋_GB2312"/>
              </w:rPr>
              <w:t>Ⅱ</w:t>
            </w:r>
          </w:p>
        </w:tc>
        <w:tc>
          <w:tcPr>
            <w:tcW w:w="1842" w:type="dxa"/>
            <w:vAlign w:val="center"/>
          </w:tcPr>
          <w:p w14:paraId="003D381B">
            <w:pPr>
              <w:pStyle w:val="59"/>
              <w:spacing w:beforeLines="0" w:afterLines="0" w:line="280" w:lineRule="exact"/>
              <w:rPr>
                <w:rFonts w:ascii="仿宋_GB2312" w:eastAsia="仿宋_GB2312"/>
              </w:rPr>
            </w:pPr>
            <w:r>
              <w:rPr>
                <w:rFonts w:hint="eastAsia" w:ascii="仿宋_GB2312" w:eastAsia="仿宋_GB2312"/>
              </w:rPr>
              <w:t>838</w:t>
            </w:r>
          </w:p>
        </w:tc>
        <w:tc>
          <w:tcPr>
            <w:tcW w:w="2468" w:type="dxa"/>
            <w:vAlign w:val="center"/>
          </w:tcPr>
          <w:p w14:paraId="463B859D">
            <w:pPr>
              <w:pStyle w:val="59"/>
              <w:tabs>
                <w:tab w:val="left" w:pos="616"/>
                <w:tab w:val="center" w:pos="1186"/>
              </w:tabs>
              <w:spacing w:beforeLines="0" w:afterLines="0" w:line="280" w:lineRule="exact"/>
              <w:jc w:val="left"/>
              <w:rPr>
                <w:rFonts w:ascii="仿宋_GB2312" w:eastAsia="仿宋_GB2312"/>
              </w:rPr>
            </w:pPr>
            <w:r>
              <w:rPr>
                <w:rFonts w:hint="eastAsia" w:ascii="仿宋_GB2312" w:eastAsia="仿宋_GB2312"/>
                <w:lang w:eastAsia="zh-CN"/>
              </w:rPr>
              <w:tab/>
            </w:r>
            <w:r>
              <w:rPr>
                <w:rFonts w:hint="eastAsia" w:ascii="仿宋_GB2312" w:eastAsia="仿宋_GB2312"/>
                <w:lang w:eastAsia="zh-CN"/>
              </w:rPr>
              <w:tab/>
            </w:r>
            <w:r>
              <w:rPr>
                <w:rFonts w:hint="eastAsia" w:ascii="仿宋_GB2312" w:eastAsia="仿宋_GB2312"/>
              </w:rPr>
              <w:t>高新区</w:t>
            </w:r>
          </w:p>
        </w:tc>
        <w:tc>
          <w:tcPr>
            <w:tcW w:w="3093" w:type="dxa"/>
            <w:vAlign w:val="center"/>
          </w:tcPr>
          <w:p w14:paraId="460C4CDD">
            <w:pPr>
              <w:pStyle w:val="59"/>
              <w:spacing w:beforeLines="0" w:afterLines="0" w:line="280" w:lineRule="exact"/>
              <w:rPr>
                <w:rFonts w:ascii="仿宋_GB2312" w:eastAsia="仿宋_GB2312"/>
              </w:rPr>
            </w:pPr>
          </w:p>
        </w:tc>
      </w:tr>
      <w:bookmarkEnd w:id="18"/>
      <w:bookmarkEnd w:id="19"/>
    </w:tbl>
    <w:p w14:paraId="40A83B84">
      <w:pPr>
        <w:pStyle w:val="61"/>
        <w:spacing w:before="312" w:afterLines="0"/>
        <w:rPr>
          <w:rFonts w:ascii="仿宋_GB2312"/>
        </w:rPr>
      </w:pPr>
      <w:bookmarkStart w:id="20" w:name="_Toc440895525"/>
      <w:bookmarkStart w:id="21" w:name="_Toc435782443"/>
      <w:r>
        <w:rPr>
          <w:rFonts w:hint="eastAsia" w:ascii="仿宋_GB2312"/>
        </w:rPr>
        <w:t>附表2 阳江高新区湖库污染综合整治工程</w:t>
      </w:r>
      <w:bookmarkEnd w:id="20"/>
    </w:p>
    <w:tbl>
      <w:tblPr>
        <w:tblStyle w:val="3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771"/>
        <w:gridCol w:w="7633"/>
        <w:gridCol w:w="1579"/>
        <w:gridCol w:w="1855"/>
      </w:tblGrid>
      <w:tr w14:paraId="5589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336" w:type="dxa"/>
            <w:vAlign w:val="center"/>
          </w:tcPr>
          <w:p w14:paraId="626D1CBA">
            <w:pPr>
              <w:jc w:val="center"/>
              <w:rPr>
                <w:rFonts w:ascii="仿宋_GB2312" w:hAnsi="Times New Roman" w:eastAsia="仿宋_GB2312"/>
                <w:b/>
                <w:kern w:val="0"/>
                <w:szCs w:val="21"/>
              </w:rPr>
            </w:pPr>
            <w:r>
              <w:rPr>
                <w:rFonts w:hint="eastAsia" w:ascii="仿宋_GB2312" w:hAnsi="Times New Roman" w:eastAsia="仿宋_GB2312"/>
                <w:b/>
                <w:kern w:val="0"/>
                <w:szCs w:val="21"/>
              </w:rPr>
              <w:t>序号</w:t>
            </w:r>
          </w:p>
        </w:tc>
        <w:tc>
          <w:tcPr>
            <w:tcW w:w="1771" w:type="dxa"/>
            <w:vAlign w:val="center"/>
          </w:tcPr>
          <w:p w14:paraId="3ECE7732">
            <w:pPr>
              <w:jc w:val="center"/>
              <w:rPr>
                <w:rFonts w:ascii="仿宋_GB2312" w:hAnsi="Times New Roman" w:eastAsia="仿宋_GB2312"/>
                <w:b/>
                <w:kern w:val="0"/>
                <w:szCs w:val="21"/>
              </w:rPr>
            </w:pPr>
            <w:r>
              <w:rPr>
                <w:rFonts w:hint="eastAsia" w:ascii="仿宋_GB2312" w:hAnsi="Times New Roman" w:eastAsia="仿宋_GB2312"/>
                <w:b/>
                <w:kern w:val="0"/>
                <w:szCs w:val="21"/>
              </w:rPr>
              <w:t>名称</w:t>
            </w:r>
          </w:p>
        </w:tc>
        <w:tc>
          <w:tcPr>
            <w:tcW w:w="7633" w:type="dxa"/>
            <w:vAlign w:val="center"/>
          </w:tcPr>
          <w:p w14:paraId="48B4F563">
            <w:pPr>
              <w:jc w:val="center"/>
              <w:rPr>
                <w:rFonts w:ascii="仿宋_GB2312" w:hAnsi="Times New Roman" w:eastAsia="仿宋_GB2312"/>
                <w:b/>
                <w:kern w:val="0"/>
                <w:szCs w:val="21"/>
              </w:rPr>
            </w:pPr>
            <w:r>
              <w:rPr>
                <w:rFonts w:hint="eastAsia" w:ascii="仿宋_GB2312" w:hAnsi="Times New Roman" w:eastAsia="仿宋_GB2312"/>
                <w:b/>
                <w:kern w:val="0"/>
                <w:szCs w:val="21"/>
              </w:rPr>
              <w:t>工程措施</w:t>
            </w:r>
          </w:p>
        </w:tc>
        <w:tc>
          <w:tcPr>
            <w:tcW w:w="1579" w:type="dxa"/>
            <w:vAlign w:val="center"/>
          </w:tcPr>
          <w:p w14:paraId="48A04456">
            <w:pPr>
              <w:jc w:val="center"/>
              <w:rPr>
                <w:rFonts w:ascii="仿宋_GB2312" w:hAnsi="Times New Roman" w:eastAsia="仿宋_GB2312"/>
                <w:b/>
                <w:kern w:val="0"/>
                <w:szCs w:val="21"/>
              </w:rPr>
            </w:pPr>
            <w:r>
              <w:rPr>
                <w:rFonts w:hint="eastAsia" w:ascii="仿宋_GB2312" w:hAnsi="Times New Roman" w:eastAsia="仿宋_GB2312"/>
                <w:b/>
                <w:kern w:val="0"/>
                <w:szCs w:val="21"/>
              </w:rPr>
              <w:t>完成年限</w:t>
            </w:r>
          </w:p>
        </w:tc>
        <w:tc>
          <w:tcPr>
            <w:tcW w:w="1855" w:type="dxa"/>
            <w:vAlign w:val="center"/>
          </w:tcPr>
          <w:p w14:paraId="313B5A32">
            <w:pPr>
              <w:rPr>
                <w:rFonts w:ascii="仿宋_GB2312" w:hAnsi="Times New Roman" w:eastAsia="仿宋_GB2312"/>
                <w:b/>
                <w:kern w:val="0"/>
                <w:szCs w:val="21"/>
              </w:rPr>
            </w:pPr>
            <w:r>
              <w:rPr>
                <w:rFonts w:hint="eastAsia" w:ascii="仿宋_GB2312" w:hAnsi="Times New Roman" w:eastAsia="仿宋_GB2312"/>
                <w:b/>
                <w:kern w:val="0"/>
                <w:szCs w:val="21"/>
              </w:rPr>
              <w:t>建设主体单位</w:t>
            </w:r>
          </w:p>
        </w:tc>
      </w:tr>
      <w:tr w14:paraId="0266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Align w:val="center"/>
          </w:tcPr>
          <w:p w14:paraId="0C0DCA80">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2</w:t>
            </w:r>
          </w:p>
        </w:tc>
        <w:tc>
          <w:tcPr>
            <w:tcW w:w="1771" w:type="dxa"/>
            <w:vAlign w:val="center"/>
          </w:tcPr>
          <w:p w14:paraId="1F0EC62C">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污染湖库综合整治工程</w:t>
            </w:r>
          </w:p>
        </w:tc>
        <w:tc>
          <w:tcPr>
            <w:tcW w:w="7633" w:type="dxa"/>
          </w:tcPr>
          <w:p w14:paraId="6DF46674">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对禁养区内养殖场进行清理、搬迁和关闭，对禁养区外规模化畜禽养殖场进行治理。划定网箱养殖的范围，依法取缔范围外网箱养殖，合理控制养殖规模，科学确定养殖密度，控制水产养殖污染；开展种植业生态化工程，在湖库周边实施以控制农药、化肥等化学品使用量为主要内容的生态化工程建设，减少因施用农用化学品造成的水质超标，实现农业清洁生产。</w:t>
            </w:r>
          </w:p>
        </w:tc>
        <w:tc>
          <w:tcPr>
            <w:tcW w:w="1579" w:type="dxa"/>
            <w:vAlign w:val="center"/>
          </w:tcPr>
          <w:p w14:paraId="04D05FAB">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2020年</w:t>
            </w:r>
          </w:p>
        </w:tc>
        <w:tc>
          <w:tcPr>
            <w:tcW w:w="1855" w:type="dxa"/>
            <w:vAlign w:val="center"/>
          </w:tcPr>
          <w:p w14:paraId="6A91A120">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农村事务局、市环保局高新分局</w:t>
            </w:r>
          </w:p>
        </w:tc>
      </w:tr>
      <w:tr w14:paraId="431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Align w:val="center"/>
          </w:tcPr>
          <w:p w14:paraId="24D90C1A">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3</w:t>
            </w:r>
          </w:p>
        </w:tc>
        <w:tc>
          <w:tcPr>
            <w:tcW w:w="1771" w:type="dxa"/>
            <w:vAlign w:val="center"/>
          </w:tcPr>
          <w:p w14:paraId="47992EE4">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生态公益林建设工程</w:t>
            </w:r>
          </w:p>
        </w:tc>
        <w:tc>
          <w:tcPr>
            <w:tcW w:w="7633" w:type="dxa"/>
          </w:tcPr>
          <w:p w14:paraId="11F0DE88">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加强生态公益林的建设、保护和管理，将饮用水源保护区、主要供水通道河重要水库集雨范围内的林地逐步纳入生态公益林范畴，加快推进退耕还林、林分改造，提高森林涵养水源和保持能力。</w:t>
            </w:r>
          </w:p>
        </w:tc>
        <w:tc>
          <w:tcPr>
            <w:tcW w:w="1579" w:type="dxa"/>
            <w:vAlign w:val="center"/>
          </w:tcPr>
          <w:p w14:paraId="2288DD68">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2020年</w:t>
            </w:r>
          </w:p>
        </w:tc>
        <w:tc>
          <w:tcPr>
            <w:tcW w:w="1855" w:type="dxa"/>
            <w:vAlign w:val="center"/>
          </w:tcPr>
          <w:p w14:paraId="5DCD362F">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农村事务局</w:t>
            </w:r>
          </w:p>
        </w:tc>
      </w:tr>
      <w:tr w14:paraId="4681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336" w:type="dxa"/>
            <w:vAlign w:val="center"/>
          </w:tcPr>
          <w:p w14:paraId="18E84808">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4</w:t>
            </w:r>
          </w:p>
        </w:tc>
        <w:tc>
          <w:tcPr>
            <w:tcW w:w="1771" w:type="dxa"/>
            <w:vAlign w:val="center"/>
          </w:tcPr>
          <w:p w14:paraId="1E1B47A9">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水生态系统保护与修复工程</w:t>
            </w:r>
          </w:p>
        </w:tc>
        <w:tc>
          <w:tcPr>
            <w:tcW w:w="7633" w:type="dxa"/>
          </w:tcPr>
          <w:p w14:paraId="7385835F">
            <w:pPr>
              <w:spacing w:line="300" w:lineRule="exact"/>
              <w:rPr>
                <w:rFonts w:ascii="仿宋_GB2312" w:hAnsi="Times New Roman" w:eastAsia="仿宋_GB2312"/>
                <w:kern w:val="0"/>
                <w:szCs w:val="21"/>
              </w:rPr>
            </w:pPr>
            <w:r>
              <w:rPr>
                <w:rFonts w:hint="eastAsia" w:ascii="仿宋_GB2312" w:hAnsi="Times New Roman" w:eastAsia="仿宋_GB2312"/>
                <w:kern w:val="0"/>
                <w:szCs w:val="21"/>
              </w:rPr>
              <w:t>维持湖泊、水库的合理水位，维护河湖生态健康。开展重点水库蓝藻治理工程及水库清淤及污染物整治工作、水生态保护与修复试点。</w:t>
            </w:r>
          </w:p>
        </w:tc>
        <w:tc>
          <w:tcPr>
            <w:tcW w:w="1579" w:type="dxa"/>
            <w:vAlign w:val="center"/>
          </w:tcPr>
          <w:p w14:paraId="1D0FDED9">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2020年</w:t>
            </w:r>
          </w:p>
        </w:tc>
        <w:tc>
          <w:tcPr>
            <w:tcW w:w="1855" w:type="dxa"/>
            <w:vAlign w:val="center"/>
          </w:tcPr>
          <w:p w14:paraId="6908A010">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农村事务局</w:t>
            </w:r>
            <w:r>
              <w:rPr>
                <w:rFonts w:hint="eastAsia" w:ascii="仿宋_GB2312" w:hAnsi="Times New Roman" w:eastAsia="仿宋_GB2312"/>
                <w:kern w:val="0"/>
                <w:szCs w:val="21"/>
                <w:lang w:eastAsia="zh-CN"/>
              </w:rPr>
              <w:t>、</w:t>
            </w:r>
            <w:r>
              <w:rPr>
                <w:rFonts w:hint="eastAsia" w:ascii="仿宋_GB2312" w:hAnsi="Times New Roman" w:eastAsia="仿宋_GB2312"/>
                <w:kern w:val="0"/>
                <w:szCs w:val="21"/>
              </w:rPr>
              <w:t>市环保局高新分局、</w:t>
            </w:r>
          </w:p>
        </w:tc>
      </w:tr>
      <w:tr w14:paraId="1CB2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Align w:val="center"/>
          </w:tcPr>
          <w:p w14:paraId="26162D6B">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5</w:t>
            </w:r>
          </w:p>
        </w:tc>
        <w:tc>
          <w:tcPr>
            <w:tcW w:w="1771" w:type="dxa"/>
            <w:vAlign w:val="center"/>
          </w:tcPr>
          <w:p w14:paraId="6A847D95">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末端降污工程</w:t>
            </w:r>
          </w:p>
        </w:tc>
        <w:tc>
          <w:tcPr>
            <w:tcW w:w="7633" w:type="dxa"/>
          </w:tcPr>
          <w:p w14:paraId="63864A04">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利用透水路面的源头吸附，结合路边植草沟、绿地、盲沟、生态驳岸、护坡等对路面雨水的汇集过程进行层层阻滞、吸附，进一步降低路面雨水污染物，最后对入湖前水体的终端处理——利用雨水滞留地，延长路面雨水排入湖体的时间，为生态降解路面雨水的面源污染提供更多空间。</w:t>
            </w:r>
          </w:p>
        </w:tc>
        <w:tc>
          <w:tcPr>
            <w:tcW w:w="1579" w:type="dxa"/>
            <w:vAlign w:val="center"/>
          </w:tcPr>
          <w:p w14:paraId="012F64FB">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2015年</w:t>
            </w:r>
          </w:p>
        </w:tc>
        <w:tc>
          <w:tcPr>
            <w:tcW w:w="1855" w:type="dxa"/>
            <w:vAlign w:val="center"/>
          </w:tcPr>
          <w:p w14:paraId="167CD4C0">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区规划建设和交通局</w:t>
            </w:r>
            <w:r>
              <w:rPr>
                <w:rFonts w:hint="eastAsia" w:ascii="仿宋_GB2312" w:hAnsi="Times New Roman" w:eastAsia="仿宋_GB2312"/>
                <w:kern w:val="0"/>
                <w:szCs w:val="21"/>
                <w:lang w:eastAsia="zh-CN"/>
              </w:rPr>
              <w:t>、</w:t>
            </w:r>
            <w:r>
              <w:rPr>
                <w:rFonts w:hint="eastAsia" w:ascii="仿宋_GB2312" w:hAnsi="Times New Roman" w:eastAsia="仿宋_GB2312"/>
                <w:kern w:val="0"/>
                <w:szCs w:val="21"/>
              </w:rPr>
              <w:t>市环保局高新分局</w:t>
            </w:r>
          </w:p>
        </w:tc>
      </w:tr>
      <w:tr w14:paraId="440B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Align w:val="center"/>
          </w:tcPr>
          <w:p w14:paraId="085D664A">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6</w:t>
            </w:r>
          </w:p>
        </w:tc>
        <w:tc>
          <w:tcPr>
            <w:tcW w:w="1771" w:type="dxa"/>
            <w:vAlign w:val="center"/>
          </w:tcPr>
          <w:p w14:paraId="3D231CC0">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脱氮除磷工程</w:t>
            </w:r>
          </w:p>
        </w:tc>
        <w:tc>
          <w:tcPr>
            <w:tcW w:w="7633" w:type="dxa"/>
          </w:tcPr>
          <w:p w14:paraId="54ECBF17">
            <w:pPr>
              <w:spacing w:line="300" w:lineRule="exact"/>
              <w:rPr>
                <w:rFonts w:ascii="仿宋_GB2312" w:hAnsi="Times New Roman" w:eastAsia="仿宋_GB2312"/>
                <w:kern w:val="0"/>
                <w:szCs w:val="21"/>
              </w:rPr>
            </w:pPr>
            <w:r>
              <w:rPr>
                <w:rFonts w:hint="eastAsia" w:ascii="仿宋_GB2312" w:hAnsi="Times New Roman" w:eastAsia="仿宋_GB2312"/>
                <w:kern w:val="0"/>
                <w:szCs w:val="21"/>
              </w:rPr>
              <w:t>通过水系调控工程、河道整治工程、水质强化净化工程、沟渠河网生态修复工程等降低河道氮磷、有机物，减少入湖入库氮磷面源污染负荷。利用现有河道建设生态型人工湿地或水面人工浮岛技术种植挺水植物、浮叶植物等，在受纳水体的岸边按照不同功能种植不同置物代。</w:t>
            </w:r>
          </w:p>
        </w:tc>
        <w:tc>
          <w:tcPr>
            <w:tcW w:w="1579" w:type="dxa"/>
            <w:vAlign w:val="center"/>
          </w:tcPr>
          <w:p w14:paraId="19DB6D4A">
            <w:pPr>
              <w:spacing w:line="300" w:lineRule="exact"/>
              <w:jc w:val="center"/>
              <w:rPr>
                <w:rFonts w:ascii="仿宋_GB2312" w:hAnsi="Times New Roman" w:eastAsia="仿宋_GB2312"/>
                <w:kern w:val="0"/>
                <w:szCs w:val="21"/>
              </w:rPr>
            </w:pPr>
            <w:r>
              <w:rPr>
                <w:rFonts w:hint="eastAsia" w:ascii="仿宋_GB2312" w:hAnsi="Times New Roman" w:eastAsia="仿宋_GB2312"/>
                <w:kern w:val="0"/>
                <w:szCs w:val="21"/>
              </w:rPr>
              <w:t>2015年</w:t>
            </w:r>
          </w:p>
        </w:tc>
        <w:tc>
          <w:tcPr>
            <w:tcW w:w="1855" w:type="dxa"/>
            <w:vAlign w:val="center"/>
          </w:tcPr>
          <w:p w14:paraId="53C37C0E">
            <w:pPr>
              <w:spacing w:line="300" w:lineRule="exact"/>
              <w:rPr>
                <w:rFonts w:ascii="仿宋_GB2312" w:hAnsi="Times New Roman" w:eastAsia="仿宋_GB2312"/>
                <w:kern w:val="0"/>
                <w:szCs w:val="21"/>
              </w:rPr>
            </w:pPr>
            <w:r>
              <w:rPr>
                <w:rFonts w:hint="eastAsia" w:ascii="仿宋_GB2312" w:hAnsi="Times New Roman" w:eastAsia="仿宋_GB2312"/>
                <w:kern w:val="0"/>
                <w:szCs w:val="21"/>
              </w:rPr>
              <w:t>农村事务局、市环保局高新分局</w:t>
            </w:r>
          </w:p>
        </w:tc>
      </w:tr>
      <w:bookmarkEnd w:id="21"/>
    </w:tbl>
    <w:p w14:paraId="58E6BA59">
      <w:pPr>
        <w:pStyle w:val="61"/>
        <w:spacing w:before="312" w:after="312"/>
        <w:rPr>
          <w:rFonts w:ascii="仿宋_GB2312"/>
        </w:rPr>
      </w:pPr>
      <w:bookmarkStart w:id="22" w:name="_Toc440895526"/>
    </w:p>
    <w:p w14:paraId="7F18224A">
      <w:pPr>
        <w:pStyle w:val="61"/>
        <w:spacing w:before="312" w:afterLines="0"/>
        <w:rPr>
          <w:rFonts w:ascii="仿宋_GB2312"/>
        </w:rPr>
      </w:pPr>
      <w:r>
        <w:rPr>
          <w:rFonts w:hint="eastAsia" w:ascii="仿宋_GB2312"/>
        </w:rPr>
        <w:t>附表3  阳江高新区主要生活污水处理设施建设计划</w:t>
      </w:r>
      <w:bookmarkEnd w:id="22"/>
    </w:p>
    <w:tbl>
      <w:tblPr>
        <w:tblStyle w:val="35"/>
        <w:tblW w:w="133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543"/>
        <w:gridCol w:w="2127"/>
        <w:gridCol w:w="1984"/>
        <w:gridCol w:w="4678"/>
      </w:tblGrid>
      <w:tr w14:paraId="466D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Align w:val="center"/>
          </w:tcPr>
          <w:p w14:paraId="2360C47B">
            <w:pPr>
              <w:jc w:val="center"/>
              <w:rPr>
                <w:rFonts w:ascii="仿宋_GB2312" w:hAnsi="Times New Roman" w:eastAsia="仿宋_GB2312"/>
              </w:rPr>
            </w:pPr>
            <w:bookmarkStart w:id="23" w:name="_Toc440895527"/>
            <w:r>
              <w:rPr>
                <w:rFonts w:hint="eastAsia" w:ascii="仿宋_GB2312" w:hAnsi="Times New Roman" w:eastAsia="仿宋_GB2312"/>
              </w:rPr>
              <w:t>序号</w:t>
            </w:r>
          </w:p>
        </w:tc>
        <w:tc>
          <w:tcPr>
            <w:tcW w:w="3543" w:type="dxa"/>
            <w:vAlign w:val="center"/>
          </w:tcPr>
          <w:p w14:paraId="74555BF2">
            <w:pPr>
              <w:spacing w:line="280" w:lineRule="exact"/>
              <w:jc w:val="center"/>
              <w:rPr>
                <w:rFonts w:ascii="仿宋_GB2312" w:hAnsi="宋体" w:eastAsia="仿宋_GB2312"/>
                <w:b/>
                <w:bCs/>
                <w:szCs w:val="21"/>
              </w:rPr>
            </w:pPr>
            <w:r>
              <w:rPr>
                <w:rFonts w:hint="eastAsia" w:ascii="仿宋_GB2312" w:hAnsi="宋体" w:eastAsia="仿宋_GB2312"/>
                <w:b/>
                <w:bCs/>
                <w:szCs w:val="21"/>
              </w:rPr>
              <w:t>污水处理厂名称</w:t>
            </w:r>
          </w:p>
        </w:tc>
        <w:tc>
          <w:tcPr>
            <w:tcW w:w="2127" w:type="dxa"/>
            <w:vAlign w:val="center"/>
          </w:tcPr>
          <w:p w14:paraId="3C085BA4">
            <w:pPr>
              <w:spacing w:line="280" w:lineRule="exact"/>
              <w:jc w:val="center"/>
              <w:rPr>
                <w:rFonts w:ascii="仿宋_GB2312" w:hAnsi="宋体" w:eastAsia="仿宋_GB2312"/>
                <w:b/>
                <w:bCs/>
                <w:szCs w:val="21"/>
              </w:rPr>
            </w:pPr>
            <w:r>
              <w:rPr>
                <w:rFonts w:hint="eastAsia" w:ascii="仿宋_GB2312" w:hAnsi="宋体" w:eastAsia="仿宋_GB2312"/>
                <w:b/>
                <w:bCs/>
                <w:szCs w:val="21"/>
              </w:rPr>
              <w:t>新增处理规模</w:t>
            </w:r>
          </w:p>
          <w:p w14:paraId="74F9EB84">
            <w:pPr>
              <w:spacing w:line="280" w:lineRule="exact"/>
              <w:jc w:val="center"/>
              <w:rPr>
                <w:rFonts w:ascii="仿宋_GB2312" w:hAnsi="宋体" w:eastAsia="仿宋_GB2312"/>
                <w:b/>
                <w:bCs/>
                <w:szCs w:val="21"/>
              </w:rPr>
            </w:pPr>
            <w:r>
              <w:rPr>
                <w:rFonts w:hint="eastAsia" w:ascii="仿宋_GB2312" w:hAnsi="宋体" w:eastAsia="仿宋_GB2312"/>
                <w:b/>
                <w:bCs/>
                <w:szCs w:val="21"/>
              </w:rPr>
              <w:t>（万吨/日）</w:t>
            </w:r>
          </w:p>
        </w:tc>
        <w:tc>
          <w:tcPr>
            <w:tcW w:w="1984" w:type="dxa"/>
            <w:vAlign w:val="center"/>
          </w:tcPr>
          <w:p w14:paraId="16E488D1">
            <w:pPr>
              <w:spacing w:line="280" w:lineRule="exact"/>
              <w:jc w:val="center"/>
              <w:rPr>
                <w:rFonts w:ascii="仿宋_GB2312" w:hAnsi="宋体" w:eastAsia="仿宋_GB2312"/>
                <w:b/>
                <w:bCs/>
                <w:szCs w:val="21"/>
              </w:rPr>
            </w:pPr>
            <w:r>
              <w:rPr>
                <w:rFonts w:hint="eastAsia" w:ascii="仿宋_GB2312" w:hAnsi="宋体" w:eastAsia="仿宋_GB2312"/>
                <w:b/>
                <w:kern w:val="0"/>
                <w:szCs w:val="21"/>
              </w:rPr>
              <w:t>建设起止年限</w:t>
            </w:r>
          </w:p>
        </w:tc>
        <w:tc>
          <w:tcPr>
            <w:tcW w:w="4678" w:type="dxa"/>
          </w:tcPr>
          <w:p w14:paraId="7A9C647C">
            <w:pPr>
              <w:spacing w:line="280" w:lineRule="exact"/>
              <w:jc w:val="center"/>
              <w:rPr>
                <w:rFonts w:ascii="仿宋_GB2312" w:hAnsi="宋体" w:eastAsia="仿宋_GB2312"/>
                <w:b/>
                <w:kern w:val="0"/>
                <w:szCs w:val="21"/>
              </w:rPr>
            </w:pPr>
            <w:r>
              <w:rPr>
                <w:rFonts w:hint="eastAsia" w:ascii="仿宋_GB2312" w:hAnsi="宋体" w:eastAsia="仿宋_GB2312"/>
                <w:b/>
                <w:kern w:val="0"/>
                <w:szCs w:val="21"/>
              </w:rPr>
              <w:t>责任单位</w:t>
            </w:r>
          </w:p>
        </w:tc>
      </w:tr>
      <w:tr w14:paraId="16A3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252C0F0">
            <w:pPr>
              <w:jc w:val="center"/>
              <w:rPr>
                <w:rFonts w:ascii="仿宋_GB2312" w:hAnsi="Times New Roman" w:eastAsia="仿宋_GB2312"/>
              </w:rPr>
            </w:pPr>
            <w:r>
              <w:rPr>
                <w:rFonts w:hint="eastAsia" w:ascii="仿宋_GB2312" w:hAnsi="Times New Roman" w:eastAsia="仿宋_GB2312"/>
              </w:rPr>
              <w:t>1</w:t>
            </w:r>
          </w:p>
        </w:tc>
        <w:tc>
          <w:tcPr>
            <w:tcW w:w="3543" w:type="dxa"/>
            <w:vAlign w:val="center"/>
          </w:tcPr>
          <w:p w14:paraId="4453B133">
            <w:pPr>
              <w:spacing w:line="360" w:lineRule="auto"/>
              <w:jc w:val="center"/>
              <w:rPr>
                <w:rFonts w:ascii="仿宋_GB2312" w:hAnsi="宋体" w:eastAsia="仿宋_GB2312"/>
                <w:szCs w:val="21"/>
              </w:rPr>
            </w:pPr>
            <w:r>
              <w:rPr>
                <w:rFonts w:hint="eastAsia" w:ascii="仿宋_GB2312" w:hAnsi="宋体" w:eastAsia="仿宋_GB2312"/>
                <w:szCs w:val="21"/>
              </w:rPr>
              <w:t>高新区平冈镇污水处理厂</w:t>
            </w:r>
          </w:p>
        </w:tc>
        <w:tc>
          <w:tcPr>
            <w:tcW w:w="2127" w:type="dxa"/>
            <w:vAlign w:val="center"/>
          </w:tcPr>
          <w:p w14:paraId="725C727E">
            <w:pPr>
              <w:spacing w:line="360" w:lineRule="auto"/>
              <w:jc w:val="center"/>
              <w:rPr>
                <w:rFonts w:ascii="仿宋_GB2312" w:hAnsi="宋体" w:eastAsia="仿宋_GB2312"/>
                <w:szCs w:val="21"/>
              </w:rPr>
            </w:pPr>
            <w:r>
              <w:rPr>
                <w:rFonts w:hint="eastAsia" w:ascii="仿宋_GB2312" w:hAnsi="宋体" w:eastAsia="仿宋_GB2312"/>
                <w:szCs w:val="21"/>
              </w:rPr>
              <w:t>0.5</w:t>
            </w:r>
          </w:p>
        </w:tc>
        <w:tc>
          <w:tcPr>
            <w:tcW w:w="1984" w:type="dxa"/>
          </w:tcPr>
          <w:p w14:paraId="572C74D4">
            <w:pPr>
              <w:spacing w:line="360" w:lineRule="auto"/>
              <w:jc w:val="center"/>
              <w:rPr>
                <w:rFonts w:ascii="仿宋_GB2312" w:hAnsi="宋体" w:eastAsia="仿宋_GB2312"/>
                <w:szCs w:val="21"/>
              </w:rPr>
            </w:pPr>
            <w:r>
              <w:rPr>
                <w:rFonts w:hint="eastAsia" w:ascii="仿宋_GB2312" w:hAnsi="宋体" w:eastAsia="仿宋_GB2312"/>
                <w:szCs w:val="21"/>
              </w:rPr>
              <w:t>2016-2017</w:t>
            </w:r>
          </w:p>
        </w:tc>
        <w:tc>
          <w:tcPr>
            <w:tcW w:w="4678" w:type="dxa"/>
          </w:tcPr>
          <w:p w14:paraId="09BF5717">
            <w:pPr>
              <w:spacing w:line="360" w:lineRule="auto"/>
              <w:jc w:val="center"/>
              <w:rPr>
                <w:rFonts w:ascii="仿宋_GB2312" w:hAnsi="宋体" w:eastAsia="仿宋_GB2312"/>
                <w:szCs w:val="21"/>
              </w:rPr>
            </w:pPr>
            <w:r>
              <w:rPr>
                <w:rFonts w:hint="eastAsia" w:ascii="仿宋_GB2312" w:hAnsi="宋体" w:eastAsia="仿宋_GB2312"/>
                <w:szCs w:val="21"/>
              </w:rPr>
              <w:t>区规划建设和交通局</w:t>
            </w:r>
          </w:p>
        </w:tc>
      </w:tr>
    </w:tbl>
    <w:p w14:paraId="0CB48ECA">
      <w:pPr>
        <w:pStyle w:val="61"/>
        <w:spacing w:beforeLines="0" w:afterLines="0"/>
        <w:rPr>
          <w:rFonts w:ascii="仿宋_GB2312"/>
        </w:rPr>
      </w:pPr>
    </w:p>
    <w:p w14:paraId="6DEBA709">
      <w:pPr>
        <w:pStyle w:val="61"/>
        <w:spacing w:beforeLines="0" w:afterLines="0"/>
        <w:rPr>
          <w:rFonts w:ascii="仿宋_GB2312"/>
        </w:rPr>
      </w:pPr>
      <w:r>
        <w:rPr>
          <w:rFonts w:hint="eastAsia" w:ascii="仿宋_GB2312"/>
        </w:rPr>
        <w:t>附表4 阳江高新区主要污水管网建设计划</w:t>
      </w:r>
      <w:bookmarkEnd w:id="23"/>
    </w:p>
    <w:tbl>
      <w:tblPr>
        <w:tblStyle w:val="35"/>
        <w:tblW w:w="1332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
        <w:gridCol w:w="3675"/>
        <w:gridCol w:w="1612"/>
        <w:gridCol w:w="2479"/>
        <w:gridCol w:w="4677"/>
      </w:tblGrid>
      <w:tr w14:paraId="3B3FF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trPr>
        <w:tc>
          <w:tcPr>
            <w:tcW w:w="883" w:type="dxa"/>
            <w:tcBorders>
              <w:bottom w:val="single" w:color="auto" w:sz="4" w:space="0"/>
            </w:tcBorders>
            <w:vAlign w:val="center"/>
          </w:tcPr>
          <w:p w14:paraId="0C12CB6A">
            <w:pPr>
              <w:spacing w:line="280" w:lineRule="exact"/>
              <w:jc w:val="center"/>
              <w:rPr>
                <w:rFonts w:ascii="仿宋_GB2312" w:hAnsi="宋体" w:eastAsia="仿宋_GB2312"/>
                <w:b/>
                <w:bCs/>
                <w:szCs w:val="21"/>
              </w:rPr>
            </w:pPr>
            <w:r>
              <w:rPr>
                <w:rFonts w:hint="eastAsia" w:ascii="仿宋_GB2312" w:hAnsi="宋体" w:eastAsia="仿宋_GB2312"/>
                <w:b/>
                <w:bCs/>
                <w:szCs w:val="21"/>
              </w:rPr>
              <w:t>序号</w:t>
            </w:r>
          </w:p>
        </w:tc>
        <w:tc>
          <w:tcPr>
            <w:tcW w:w="3675" w:type="dxa"/>
            <w:vAlign w:val="center"/>
          </w:tcPr>
          <w:p w14:paraId="2E9D0446">
            <w:pPr>
              <w:spacing w:line="280" w:lineRule="exact"/>
              <w:jc w:val="center"/>
              <w:rPr>
                <w:rFonts w:ascii="仿宋_GB2312" w:hAnsi="宋体" w:eastAsia="仿宋_GB2312"/>
                <w:b/>
                <w:bCs/>
                <w:szCs w:val="21"/>
              </w:rPr>
            </w:pPr>
            <w:r>
              <w:rPr>
                <w:rFonts w:hint="eastAsia" w:ascii="仿宋_GB2312" w:hAnsi="宋体" w:eastAsia="仿宋_GB2312"/>
                <w:b/>
                <w:bCs/>
                <w:szCs w:val="21"/>
              </w:rPr>
              <w:t>配套污水管网</w:t>
            </w:r>
          </w:p>
        </w:tc>
        <w:tc>
          <w:tcPr>
            <w:tcW w:w="1612" w:type="dxa"/>
            <w:tcBorders>
              <w:top w:val="single" w:color="auto" w:sz="4" w:space="0"/>
            </w:tcBorders>
            <w:vAlign w:val="center"/>
          </w:tcPr>
          <w:p w14:paraId="1AC66D37">
            <w:pPr>
              <w:spacing w:line="280" w:lineRule="exact"/>
              <w:jc w:val="center"/>
              <w:rPr>
                <w:rFonts w:ascii="仿宋_GB2312" w:hAnsi="宋体" w:eastAsia="仿宋_GB2312"/>
                <w:b/>
                <w:bCs/>
                <w:szCs w:val="21"/>
              </w:rPr>
            </w:pPr>
            <w:r>
              <w:rPr>
                <w:rFonts w:hint="eastAsia" w:ascii="仿宋_GB2312" w:hAnsi="宋体" w:eastAsia="仿宋_GB2312"/>
                <w:b/>
                <w:bCs/>
                <w:szCs w:val="21"/>
              </w:rPr>
              <w:t>管网长度</w:t>
            </w:r>
          </w:p>
          <w:p w14:paraId="27B7E0CD">
            <w:pPr>
              <w:spacing w:line="280" w:lineRule="exact"/>
              <w:jc w:val="center"/>
              <w:rPr>
                <w:rFonts w:ascii="仿宋_GB2312" w:hAnsi="宋体" w:eastAsia="仿宋_GB2312"/>
                <w:b/>
                <w:bCs/>
                <w:szCs w:val="21"/>
              </w:rPr>
            </w:pPr>
            <w:r>
              <w:rPr>
                <w:rFonts w:hint="eastAsia" w:ascii="仿宋_GB2312" w:hAnsi="宋体" w:eastAsia="仿宋_GB2312"/>
                <w:b/>
                <w:bCs/>
                <w:szCs w:val="21"/>
              </w:rPr>
              <w:t>（km）</w:t>
            </w:r>
          </w:p>
        </w:tc>
        <w:tc>
          <w:tcPr>
            <w:tcW w:w="2479" w:type="dxa"/>
            <w:vAlign w:val="center"/>
          </w:tcPr>
          <w:p w14:paraId="056E8EAC">
            <w:pPr>
              <w:spacing w:line="280" w:lineRule="exact"/>
              <w:jc w:val="center"/>
              <w:rPr>
                <w:rFonts w:ascii="仿宋_GB2312" w:hAnsi="宋体" w:eastAsia="仿宋_GB2312"/>
                <w:b/>
                <w:bCs/>
                <w:szCs w:val="21"/>
              </w:rPr>
            </w:pPr>
            <w:r>
              <w:rPr>
                <w:rFonts w:hint="eastAsia" w:ascii="仿宋_GB2312" w:hAnsi="宋体" w:eastAsia="仿宋_GB2312"/>
                <w:b/>
                <w:kern w:val="0"/>
                <w:szCs w:val="21"/>
              </w:rPr>
              <w:t>建设起止年限</w:t>
            </w:r>
          </w:p>
        </w:tc>
        <w:tc>
          <w:tcPr>
            <w:tcW w:w="4677" w:type="dxa"/>
          </w:tcPr>
          <w:p w14:paraId="322132A7">
            <w:pPr>
              <w:spacing w:line="280" w:lineRule="exact"/>
              <w:jc w:val="center"/>
              <w:rPr>
                <w:rFonts w:ascii="仿宋_GB2312" w:hAnsi="宋体" w:eastAsia="仿宋_GB2312"/>
                <w:b/>
                <w:kern w:val="0"/>
                <w:szCs w:val="21"/>
              </w:rPr>
            </w:pPr>
            <w:r>
              <w:rPr>
                <w:rFonts w:hint="eastAsia" w:ascii="仿宋_GB2312" w:hAnsi="宋体" w:eastAsia="仿宋_GB2312"/>
                <w:b/>
                <w:kern w:val="0"/>
                <w:szCs w:val="21"/>
              </w:rPr>
              <w:t>责任单位</w:t>
            </w:r>
          </w:p>
        </w:tc>
      </w:tr>
      <w:tr w14:paraId="0382C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883" w:type="dxa"/>
            <w:vAlign w:val="center"/>
          </w:tcPr>
          <w:p w14:paraId="292F762A">
            <w:pPr>
              <w:spacing w:line="360" w:lineRule="auto"/>
              <w:jc w:val="center"/>
              <w:rPr>
                <w:rFonts w:ascii="仿宋_GB2312" w:hAnsi="宋体" w:eastAsia="仿宋_GB2312"/>
                <w:szCs w:val="21"/>
              </w:rPr>
            </w:pPr>
            <w:r>
              <w:rPr>
                <w:rFonts w:hint="eastAsia" w:ascii="仿宋_GB2312" w:hAnsi="宋体" w:eastAsia="仿宋_GB2312"/>
                <w:szCs w:val="21"/>
              </w:rPr>
              <w:t>1</w:t>
            </w:r>
          </w:p>
        </w:tc>
        <w:tc>
          <w:tcPr>
            <w:tcW w:w="3675" w:type="dxa"/>
            <w:vAlign w:val="center"/>
          </w:tcPr>
          <w:p w14:paraId="1F43E71B">
            <w:pPr>
              <w:spacing w:line="360" w:lineRule="auto"/>
              <w:jc w:val="center"/>
              <w:rPr>
                <w:rFonts w:ascii="仿宋_GB2312" w:hAnsi="宋体" w:eastAsia="仿宋_GB2312"/>
                <w:szCs w:val="21"/>
              </w:rPr>
            </w:pPr>
            <w:r>
              <w:rPr>
                <w:rFonts w:hint="eastAsia" w:ascii="仿宋_GB2312" w:hAnsi="宋体" w:eastAsia="仿宋_GB2312"/>
                <w:szCs w:val="21"/>
              </w:rPr>
              <w:t>高新区平冈镇污水处理厂污水干管</w:t>
            </w:r>
          </w:p>
        </w:tc>
        <w:tc>
          <w:tcPr>
            <w:tcW w:w="1612" w:type="dxa"/>
            <w:tcBorders>
              <w:bottom w:val="single" w:color="auto" w:sz="4" w:space="0"/>
            </w:tcBorders>
            <w:vAlign w:val="center"/>
          </w:tcPr>
          <w:p w14:paraId="38E3C810">
            <w:pPr>
              <w:spacing w:line="360" w:lineRule="auto"/>
              <w:jc w:val="center"/>
              <w:rPr>
                <w:rFonts w:ascii="仿宋_GB2312" w:hAnsi="宋体" w:eastAsia="仿宋_GB2312"/>
                <w:szCs w:val="21"/>
              </w:rPr>
            </w:pPr>
            <w:r>
              <w:rPr>
                <w:rFonts w:hint="eastAsia" w:ascii="仿宋_GB2312" w:hAnsi="宋体" w:eastAsia="仿宋_GB2312"/>
                <w:szCs w:val="21"/>
              </w:rPr>
              <w:t>4</w:t>
            </w:r>
          </w:p>
        </w:tc>
        <w:tc>
          <w:tcPr>
            <w:tcW w:w="2479" w:type="dxa"/>
            <w:vAlign w:val="center"/>
          </w:tcPr>
          <w:p w14:paraId="559FEF79">
            <w:pPr>
              <w:spacing w:line="360" w:lineRule="auto"/>
              <w:jc w:val="center"/>
              <w:rPr>
                <w:rFonts w:ascii="仿宋_GB2312" w:hAnsi="宋体" w:eastAsia="仿宋_GB2312"/>
                <w:szCs w:val="21"/>
              </w:rPr>
            </w:pPr>
            <w:r>
              <w:rPr>
                <w:rFonts w:hint="eastAsia" w:ascii="仿宋_GB2312" w:hAnsi="宋体" w:eastAsia="仿宋_GB2312"/>
                <w:szCs w:val="21"/>
              </w:rPr>
              <w:t>2016-2017</w:t>
            </w:r>
          </w:p>
        </w:tc>
        <w:tc>
          <w:tcPr>
            <w:tcW w:w="4677" w:type="dxa"/>
          </w:tcPr>
          <w:p w14:paraId="3ED33A47">
            <w:pPr>
              <w:spacing w:line="360" w:lineRule="auto"/>
              <w:jc w:val="center"/>
              <w:rPr>
                <w:rFonts w:ascii="仿宋_GB2312" w:hAnsi="宋体" w:eastAsia="仿宋_GB2312"/>
                <w:szCs w:val="21"/>
              </w:rPr>
            </w:pPr>
            <w:r>
              <w:rPr>
                <w:rFonts w:hint="eastAsia" w:ascii="仿宋_GB2312" w:hAnsi="宋体" w:eastAsia="仿宋_GB2312"/>
                <w:szCs w:val="21"/>
              </w:rPr>
              <w:t>区规划建设和交通局</w:t>
            </w:r>
          </w:p>
        </w:tc>
      </w:tr>
    </w:tbl>
    <w:p w14:paraId="5A167EEA">
      <w:pPr>
        <w:spacing w:line="360" w:lineRule="auto"/>
        <w:jc w:val="left"/>
        <w:rPr>
          <w:rFonts w:ascii="仿宋_GB2312" w:hAnsi="宋体" w:eastAsia="仿宋_GB2312"/>
          <w:szCs w:val="21"/>
        </w:rPr>
      </w:pPr>
      <w:bookmarkStart w:id="24" w:name="_Toc440895528"/>
    </w:p>
    <w:bookmarkEnd w:id="24"/>
    <w:p w14:paraId="12A76F96">
      <w:pPr>
        <w:pStyle w:val="61"/>
        <w:spacing w:beforeLines="0" w:afterLines="0"/>
        <w:rPr>
          <w:rFonts w:ascii="仿宋_GB2312"/>
        </w:rPr>
      </w:pPr>
      <w:bookmarkStart w:id="25" w:name="_Toc440895532"/>
    </w:p>
    <w:p w14:paraId="28D56D18">
      <w:pPr>
        <w:pStyle w:val="61"/>
        <w:spacing w:beforeLines="0" w:afterLines="0"/>
        <w:rPr>
          <w:rFonts w:ascii="仿宋_GB2312"/>
        </w:rPr>
      </w:pPr>
      <w:r>
        <w:rPr>
          <w:rFonts w:hint="eastAsia" w:ascii="仿宋_GB2312"/>
        </w:rPr>
        <w:t>附表5  阳江高新区主要河流（涌）综合整治工程建设计划</w:t>
      </w:r>
      <w:bookmarkEnd w:id="25"/>
    </w:p>
    <w:tbl>
      <w:tblPr>
        <w:tblStyle w:val="35"/>
        <w:tblW w:w="13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1602"/>
        <w:gridCol w:w="994"/>
        <w:gridCol w:w="5154"/>
        <w:gridCol w:w="1844"/>
        <w:gridCol w:w="3150"/>
      </w:tblGrid>
      <w:tr w14:paraId="0DF1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blHeader/>
          <w:jc w:val="center"/>
        </w:trPr>
        <w:tc>
          <w:tcPr>
            <w:tcW w:w="582" w:type="dxa"/>
          </w:tcPr>
          <w:p w14:paraId="49600A21">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序号</w:t>
            </w:r>
          </w:p>
        </w:tc>
        <w:tc>
          <w:tcPr>
            <w:tcW w:w="1602" w:type="dxa"/>
            <w:vAlign w:val="center"/>
          </w:tcPr>
          <w:p w14:paraId="006AC5B2">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河涌名称</w:t>
            </w:r>
          </w:p>
        </w:tc>
        <w:tc>
          <w:tcPr>
            <w:tcW w:w="994" w:type="dxa"/>
            <w:vAlign w:val="center"/>
          </w:tcPr>
          <w:p w14:paraId="76C3ED6F">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长度(km)</w:t>
            </w:r>
          </w:p>
        </w:tc>
        <w:tc>
          <w:tcPr>
            <w:tcW w:w="5154" w:type="dxa"/>
            <w:vAlign w:val="center"/>
          </w:tcPr>
          <w:p w14:paraId="5ACF0012">
            <w:pPr>
              <w:widowControl/>
              <w:spacing w:line="280" w:lineRule="exact"/>
              <w:jc w:val="center"/>
              <w:rPr>
                <w:rFonts w:ascii="仿宋_GB2312" w:eastAsia="仿宋_GB2312"/>
                <w:bCs/>
                <w:kern w:val="0"/>
                <w:szCs w:val="21"/>
              </w:rPr>
            </w:pPr>
            <w:r>
              <w:rPr>
                <w:rFonts w:hint="eastAsia" w:ascii="仿宋_GB2312" w:eastAsia="仿宋_GB2312"/>
                <w:bCs/>
                <w:kern w:val="0"/>
                <w:szCs w:val="21"/>
              </w:rPr>
              <w:t>主要建设内容</w:t>
            </w:r>
          </w:p>
        </w:tc>
        <w:tc>
          <w:tcPr>
            <w:tcW w:w="1844" w:type="dxa"/>
            <w:vAlign w:val="center"/>
          </w:tcPr>
          <w:p w14:paraId="328EB051">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完成年限</w:t>
            </w:r>
          </w:p>
        </w:tc>
        <w:tc>
          <w:tcPr>
            <w:tcW w:w="3150" w:type="dxa"/>
          </w:tcPr>
          <w:p w14:paraId="7E69154B">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责任单位</w:t>
            </w:r>
          </w:p>
        </w:tc>
      </w:tr>
      <w:tr w14:paraId="06B0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82" w:type="dxa"/>
          </w:tcPr>
          <w:p w14:paraId="2777E16E">
            <w:pPr>
              <w:spacing w:line="360" w:lineRule="auto"/>
              <w:jc w:val="center"/>
              <w:rPr>
                <w:rFonts w:ascii="仿宋_GB2312" w:hAnsi="宋体" w:eastAsia="仿宋_GB2312"/>
                <w:szCs w:val="21"/>
              </w:rPr>
            </w:pPr>
            <w:r>
              <w:rPr>
                <w:rFonts w:hint="eastAsia" w:ascii="仿宋_GB2312" w:hAnsi="宋体" w:eastAsia="仿宋_GB2312"/>
                <w:szCs w:val="21"/>
              </w:rPr>
              <w:t>1</w:t>
            </w:r>
          </w:p>
        </w:tc>
        <w:tc>
          <w:tcPr>
            <w:tcW w:w="1602" w:type="dxa"/>
            <w:vAlign w:val="center"/>
          </w:tcPr>
          <w:p w14:paraId="279780E4">
            <w:pPr>
              <w:spacing w:line="360" w:lineRule="auto"/>
              <w:jc w:val="center"/>
              <w:rPr>
                <w:rFonts w:ascii="仿宋_GB2312" w:hAnsi="宋体" w:eastAsia="仿宋_GB2312"/>
                <w:szCs w:val="21"/>
              </w:rPr>
            </w:pPr>
            <w:r>
              <w:rPr>
                <w:rFonts w:hint="eastAsia" w:ascii="仿宋_GB2312" w:hAnsi="宋体" w:eastAsia="仿宋_GB2312"/>
                <w:szCs w:val="21"/>
              </w:rPr>
              <w:t>新涌河</w:t>
            </w:r>
          </w:p>
        </w:tc>
        <w:tc>
          <w:tcPr>
            <w:tcW w:w="994" w:type="dxa"/>
            <w:vAlign w:val="center"/>
          </w:tcPr>
          <w:p w14:paraId="4CDDF59A">
            <w:pPr>
              <w:spacing w:line="360" w:lineRule="auto"/>
              <w:jc w:val="center"/>
              <w:rPr>
                <w:rFonts w:ascii="仿宋_GB2312" w:hAnsi="宋体" w:eastAsia="仿宋_GB2312"/>
                <w:szCs w:val="21"/>
              </w:rPr>
            </w:pPr>
            <w:r>
              <w:rPr>
                <w:rFonts w:hint="eastAsia" w:ascii="仿宋_GB2312" w:hAnsi="宋体" w:eastAsia="仿宋_GB2312"/>
                <w:szCs w:val="21"/>
              </w:rPr>
              <w:t>2.9</w:t>
            </w:r>
          </w:p>
        </w:tc>
        <w:tc>
          <w:tcPr>
            <w:tcW w:w="5154" w:type="dxa"/>
            <w:vAlign w:val="center"/>
          </w:tcPr>
          <w:p w14:paraId="68A882A4">
            <w:pPr>
              <w:spacing w:line="360" w:lineRule="auto"/>
              <w:jc w:val="center"/>
              <w:rPr>
                <w:rFonts w:ascii="仿宋_GB2312" w:hAnsi="宋体" w:eastAsia="仿宋_GB2312"/>
                <w:szCs w:val="21"/>
              </w:rPr>
            </w:pPr>
            <w:r>
              <w:rPr>
                <w:rFonts w:hint="eastAsia" w:ascii="仿宋_GB2312" w:hAnsi="宋体" w:eastAsia="仿宋_GB2312"/>
                <w:szCs w:val="21"/>
              </w:rPr>
              <w:t>河道整治（</w:t>
            </w:r>
            <w:r>
              <w:rPr>
                <w:rFonts w:hint="eastAsia" w:eastAsia="楷体_GB2312"/>
                <w:sz w:val="20"/>
                <w:szCs w:val="20"/>
              </w:rPr>
              <w:t>平冈镇八一小学附近至石庙村)</w:t>
            </w:r>
          </w:p>
        </w:tc>
        <w:tc>
          <w:tcPr>
            <w:tcW w:w="1844" w:type="dxa"/>
            <w:vAlign w:val="center"/>
          </w:tcPr>
          <w:p w14:paraId="2D29E527">
            <w:pPr>
              <w:spacing w:line="360" w:lineRule="auto"/>
              <w:jc w:val="center"/>
              <w:rPr>
                <w:rFonts w:ascii="仿宋_GB2312" w:hAnsi="宋体" w:eastAsia="仿宋_GB2312"/>
                <w:szCs w:val="21"/>
              </w:rPr>
            </w:pPr>
            <w:r>
              <w:rPr>
                <w:rFonts w:hint="eastAsia" w:ascii="仿宋_GB2312" w:hAnsi="宋体" w:eastAsia="仿宋_GB2312"/>
                <w:szCs w:val="21"/>
              </w:rPr>
              <w:t>2017年</w:t>
            </w:r>
          </w:p>
        </w:tc>
        <w:tc>
          <w:tcPr>
            <w:tcW w:w="3150" w:type="dxa"/>
          </w:tcPr>
          <w:p w14:paraId="17AC66DE">
            <w:pPr>
              <w:spacing w:line="360" w:lineRule="auto"/>
              <w:jc w:val="center"/>
              <w:rPr>
                <w:rFonts w:ascii="仿宋_GB2312" w:hAnsi="宋体" w:eastAsia="仿宋_GB2312"/>
                <w:szCs w:val="21"/>
              </w:rPr>
            </w:pPr>
            <w:r>
              <w:rPr>
                <w:rFonts w:hint="eastAsia" w:ascii="仿宋_GB2312" w:hAnsi="宋体" w:eastAsia="仿宋_GB2312"/>
                <w:szCs w:val="21"/>
              </w:rPr>
              <w:t>区农村事务局</w:t>
            </w:r>
          </w:p>
        </w:tc>
      </w:tr>
    </w:tbl>
    <w:p w14:paraId="3766E4C7">
      <w:pPr>
        <w:rPr>
          <w:rFonts w:ascii="仿宋_GB2312" w:eastAsia="仿宋_GB2312"/>
        </w:rPr>
      </w:pPr>
    </w:p>
    <w:p w14:paraId="51C5FB6E">
      <w:pPr>
        <w:pStyle w:val="61"/>
        <w:spacing w:before="312" w:after="312"/>
        <w:rPr>
          <w:rFonts w:ascii="仿宋_GB2312"/>
        </w:rPr>
      </w:pPr>
      <w:bookmarkStart w:id="26" w:name="_Toc440895534"/>
      <w:r>
        <w:rPr>
          <w:rFonts w:hint="eastAsia" w:ascii="仿宋_GB2312"/>
        </w:rPr>
        <w:t>附表6   阳江高新区重点污染行业整治内容清单</w:t>
      </w:r>
      <w:bookmarkEnd w:id="26"/>
    </w:p>
    <w:tbl>
      <w:tblPr>
        <w:tblStyle w:val="35"/>
        <w:tblW w:w="14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977"/>
        <w:gridCol w:w="7781"/>
        <w:gridCol w:w="1274"/>
        <w:gridCol w:w="2961"/>
      </w:tblGrid>
      <w:tr w14:paraId="7D2F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49" w:type="dxa"/>
            <w:vAlign w:val="center"/>
          </w:tcPr>
          <w:p w14:paraId="100383ED">
            <w:pPr>
              <w:widowControl/>
              <w:spacing w:line="280" w:lineRule="exact"/>
              <w:jc w:val="center"/>
              <w:rPr>
                <w:rFonts w:ascii="仿宋_GB2312" w:eastAsia="仿宋_GB2312"/>
                <w:b/>
                <w:bCs/>
                <w:kern w:val="0"/>
                <w:szCs w:val="21"/>
              </w:rPr>
            </w:pPr>
            <w:bookmarkStart w:id="27" w:name="_Toc440895535"/>
            <w:r>
              <w:rPr>
                <w:rFonts w:hint="eastAsia" w:ascii="仿宋_GB2312" w:eastAsia="仿宋_GB2312"/>
                <w:b/>
                <w:bCs/>
                <w:kern w:val="0"/>
                <w:szCs w:val="21"/>
              </w:rPr>
              <w:t>序号</w:t>
            </w:r>
          </w:p>
        </w:tc>
        <w:tc>
          <w:tcPr>
            <w:tcW w:w="1977" w:type="dxa"/>
            <w:vAlign w:val="center"/>
          </w:tcPr>
          <w:p w14:paraId="045C944C">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项目名称</w:t>
            </w:r>
          </w:p>
        </w:tc>
        <w:tc>
          <w:tcPr>
            <w:tcW w:w="7781" w:type="dxa"/>
            <w:vAlign w:val="center"/>
          </w:tcPr>
          <w:p w14:paraId="118D4680">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建设内容</w:t>
            </w:r>
          </w:p>
        </w:tc>
        <w:tc>
          <w:tcPr>
            <w:tcW w:w="1274" w:type="dxa"/>
            <w:vAlign w:val="center"/>
          </w:tcPr>
          <w:p w14:paraId="43C8A923">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整治期限</w:t>
            </w:r>
          </w:p>
        </w:tc>
        <w:tc>
          <w:tcPr>
            <w:tcW w:w="2961" w:type="dxa"/>
            <w:vAlign w:val="center"/>
          </w:tcPr>
          <w:p w14:paraId="3A670DFD">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责任主体</w:t>
            </w:r>
          </w:p>
        </w:tc>
      </w:tr>
      <w:tr w14:paraId="49BD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49" w:type="dxa"/>
            <w:vAlign w:val="center"/>
          </w:tcPr>
          <w:p w14:paraId="1C366D61">
            <w:pPr>
              <w:spacing w:line="300" w:lineRule="exact"/>
              <w:jc w:val="center"/>
              <w:rPr>
                <w:rFonts w:ascii="仿宋_GB2312" w:eastAsia="仿宋_GB2312"/>
                <w:szCs w:val="21"/>
              </w:rPr>
            </w:pPr>
            <w:r>
              <w:rPr>
                <w:rFonts w:hint="eastAsia" w:ascii="仿宋_GB2312" w:eastAsia="仿宋_GB2312"/>
                <w:szCs w:val="21"/>
              </w:rPr>
              <w:t>1</w:t>
            </w:r>
          </w:p>
        </w:tc>
        <w:tc>
          <w:tcPr>
            <w:tcW w:w="1977" w:type="dxa"/>
            <w:vAlign w:val="center"/>
          </w:tcPr>
          <w:p w14:paraId="3A74C82F">
            <w:pPr>
              <w:spacing w:line="300" w:lineRule="exact"/>
              <w:rPr>
                <w:rFonts w:ascii="仿宋_GB2312" w:eastAsia="仿宋_GB2312"/>
                <w:szCs w:val="21"/>
              </w:rPr>
            </w:pPr>
            <w:r>
              <w:rPr>
                <w:rFonts w:hint="eastAsia" w:ascii="仿宋_GB2312" w:eastAsia="仿宋_GB2312"/>
                <w:szCs w:val="21"/>
              </w:rPr>
              <w:t>工业企业入园进区</w:t>
            </w:r>
          </w:p>
        </w:tc>
        <w:tc>
          <w:tcPr>
            <w:tcW w:w="7781" w:type="dxa"/>
            <w:vAlign w:val="center"/>
          </w:tcPr>
          <w:p w14:paraId="07C8C42E">
            <w:pPr>
              <w:spacing w:line="300" w:lineRule="exact"/>
              <w:rPr>
                <w:rFonts w:ascii="仿宋_GB2312" w:eastAsia="仿宋_GB2312"/>
                <w:szCs w:val="21"/>
              </w:rPr>
            </w:pPr>
            <w:r>
              <w:rPr>
                <w:rFonts w:hint="eastAsia" w:ascii="仿宋_GB2312" w:eastAsia="仿宋_GB2312"/>
                <w:szCs w:val="21"/>
              </w:rPr>
              <w:t>将废水排放不能达到国家标准的重点排污企业迁入对应园区</w:t>
            </w:r>
          </w:p>
        </w:tc>
        <w:tc>
          <w:tcPr>
            <w:tcW w:w="1274" w:type="dxa"/>
            <w:vAlign w:val="center"/>
          </w:tcPr>
          <w:p w14:paraId="05970825">
            <w:pPr>
              <w:spacing w:line="300" w:lineRule="exact"/>
              <w:rPr>
                <w:rFonts w:ascii="仿宋_GB2312" w:eastAsia="仿宋_GB2312"/>
                <w:szCs w:val="21"/>
              </w:rPr>
            </w:pPr>
            <w:r>
              <w:rPr>
                <w:rFonts w:hint="eastAsia" w:ascii="仿宋_GB2312" w:eastAsia="仿宋_GB2312"/>
                <w:szCs w:val="21"/>
              </w:rPr>
              <w:t>2020年</w:t>
            </w:r>
          </w:p>
        </w:tc>
        <w:tc>
          <w:tcPr>
            <w:tcW w:w="2961" w:type="dxa"/>
            <w:vAlign w:val="center"/>
          </w:tcPr>
          <w:p w14:paraId="587CADC4">
            <w:pPr>
              <w:spacing w:line="300" w:lineRule="exact"/>
              <w:rPr>
                <w:rFonts w:ascii="仿宋_GB2312" w:eastAsia="仿宋_GB2312"/>
                <w:szCs w:val="21"/>
              </w:rPr>
            </w:pPr>
            <w:r>
              <w:rPr>
                <w:rFonts w:hint="eastAsia" w:ascii="仿宋_GB2312" w:eastAsia="仿宋_GB2312"/>
                <w:szCs w:val="21"/>
              </w:rPr>
              <w:t>区经发局</w:t>
            </w:r>
          </w:p>
        </w:tc>
      </w:tr>
      <w:tr w14:paraId="3563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49" w:type="dxa"/>
            <w:vAlign w:val="center"/>
          </w:tcPr>
          <w:p w14:paraId="21CD37D5">
            <w:pPr>
              <w:spacing w:line="300" w:lineRule="exact"/>
              <w:jc w:val="center"/>
              <w:rPr>
                <w:rFonts w:ascii="仿宋_GB2312" w:eastAsia="仿宋_GB2312"/>
                <w:szCs w:val="21"/>
              </w:rPr>
            </w:pPr>
            <w:r>
              <w:rPr>
                <w:rFonts w:hint="eastAsia" w:ascii="仿宋_GB2312" w:eastAsia="仿宋_GB2312"/>
                <w:szCs w:val="21"/>
              </w:rPr>
              <w:t>2</w:t>
            </w:r>
          </w:p>
        </w:tc>
        <w:tc>
          <w:tcPr>
            <w:tcW w:w="1977" w:type="dxa"/>
            <w:vAlign w:val="center"/>
          </w:tcPr>
          <w:p w14:paraId="0988D60F">
            <w:pPr>
              <w:spacing w:line="300" w:lineRule="exact"/>
              <w:rPr>
                <w:rFonts w:ascii="仿宋_GB2312" w:eastAsia="仿宋_GB2312"/>
                <w:szCs w:val="21"/>
              </w:rPr>
            </w:pPr>
            <w:r>
              <w:rPr>
                <w:rFonts w:hint="eastAsia" w:ascii="仿宋_GB2312" w:eastAsia="仿宋_GB2312"/>
                <w:szCs w:val="21"/>
              </w:rPr>
              <w:t>落后产能淘汰工程</w:t>
            </w:r>
          </w:p>
        </w:tc>
        <w:tc>
          <w:tcPr>
            <w:tcW w:w="7781" w:type="dxa"/>
            <w:vAlign w:val="center"/>
          </w:tcPr>
          <w:p w14:paraId="30D59C9B">
            <w:pPr>
              <w:spacing w:line="300" w:lineRule="exact"/>
              <w:rPr>
                <w:rFonts w:ascii="仿宋_GB2312" w:eastAsia="仿宋_GB2312"/>
                <w:szCs w:val="21"/>
              </w:rPr>
            </w:pPr>
            <w:r>
              <w:rPr>
                <w:rFonts w:hint="eastAsia" w:ascii="仿宋_GB2312" w:eastAsia="仿宋_GB2312"/>
                <w:szCs w:val="21"/>
              </w:rPr>
              <w:t>农副食品加工：淘汰手工、半机械化的落后产能，淘汰中小型（1千头/天以下）屠宰点；按照国家产业结构调整要求，淘汰有关饮料制造业和食品制造业的相关企业。</w:t>
            </w:r>
          </w:p>
        </w:tc>
        <w:tc>
          <w:tcPr>
            <w:tcW w:w="1274" w:type="dxa"/>
            <w:vAlign w:val="center"/>
          </w:tcPr>
          <w:p w14:paraId="33C516A8">
            <w:pPr>
              <w:spacing w:line="300" w:lineRule="exact"/>
              <w:rPr>
                <w:rFonts w:ascii="仿宋_GB2312" w:eastAsia="仿宋_GB2312"/>
                <w:szCs w:val="21"/>
              </w:rPr>
            </w:pPr>
            <w:r>
              <w:rPr>
                <w:rFonts w:hint="eastAsia" w:ascii="仿宋_GB2312" w:eastAsia="仿宋_GB2312"/>
                <w:szCs w:val="21"/>
              </w:rPr>
              <w:t>2016年</w:t>
            </w:r>
          </w:p>
        </w:tc>
        <w:tc>
          <w:tcPr>
            <w:tcW w:w="2961" w:type="dxa"/>
            <w:vAlign w:val="center"/>
          </w:tcPr>
          <w:p w14:paraId="2428F985">
            <w:pPr>
              <w:spacing w:line="300" w:lineRule="exact"/>
              <w:rPr>
                <w:rFonts w:ascii="仿宋_GB2312" w:eastAsia="仿宋_GB2312"/>
                <w:szCs w:val="21"/>
              </w:rPr>
            </w:pPr>
            <w:r>
              <w:rPr>
                <w:rFonts w:hint="eastAsia" w:ascii="仿宋_GB2312" w:eastAsia="仿宋_GB2312"/>
                <w:szCs w:val="21"/>
              </w:rPr>
              <w:t>区经发局、市环保局高新分局</w:t>
            </w:r>
          </w:p>
        </w:tc>
      </w:tr>
      <w:tr w14:paraId="5054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49" w:type="dxa"/>
            <w:vAlign w:val="center"/>
          </w:tcPr>
          <w:p w14:paraId="11AAD28D">
            <w:pPr>
              <w:spacing w:line="300" w:lineRule="exact"/>
              <w:jc w:val="center"/>
              <w:rPr>
                <w:rFonts w:ascii="仿宋_GB2312" w:eastAsia="仿宋_GB2312"/>
                <w:szCs w:val="21"/>
              </w:rPr>
            </w:pPr>
            <w:r>
              <w:rPr>
                <w:rFonts w:hint="eastAsia" w:ascii="仿宋_GB2312" w:eastAsia="仿宋_GB2312"/>
                <w:szCs w:val="21"/>
              </w:rPr>
              <w:t>3</w:t>
            </w:r>
          </w:p>
        </w:tc>
        <w:tc>
          <w:tcPr>
            <w:tcW w:w="1977" w:type="dxa"/>
            <w:vAlign w:val="center"/>
          </w:tcPr>
          <w:p w14:paraId="1AAFE6D3">
            <w:pPr>
              <w:spacing w:line="300" w:lineRule="exact"/>
              <w:rPr>
                <w:rFonts w:ascii="仿宋_GB2312" w:eastAsia="仿宋_GB2312"/>
                <w:szCs w:val="21"/>
              </w:rPr>
            </w:pPr>
            <w:r>
              <w:rPr>
                <w:rFonts w:hint="eastAsia" w:ascii="仿宋_GB2312" w:eastAsia="仿宋_GB2312"/>
                <w:szCs w:val="21"/>
              </w:rPr>
              <w:t>清洁生产试点示范工程</w:t>
            </w:r>
          </w:p>
        </w:tc>
        <w:tc>
          <w:tcPr>
            <w:tcW w:w="7781" w:type="dxa"/>
            <w:vAlign w:val="center"/>
          </w:tcPr>
          <w:p w14:paraId="3CCF36D3">
            <w:pPr>
              <w:spacing w:line="300" w:lineRule="exact"/>
              <w:rPr>
                <w:rFonts w:ascii="仿宋_GB2312" w:eastAsia="仿宋_GB2312"/>
                <w:szCs w:val="21"/>
              </w:rPr>
            </w:pPr>
            <w:r>
              <w:rPr>
                <w:rFonts w:hint="eastAsia" w:ascii="仿宋_GB2312" w:eastAsia="仿宋_GB2312"/>
                <w:szCs w:val="21"/>
              </w:rPr>
              <w:t>钢铁、水产品、畜禽屠宰行业各1-2家清洁生产试点示范建设</w:t>
            </w:r>
          </w:p>
        </w:tc>
        <w:tc>
          <w:tcPr>
            <w:tcW w:w="1274" w:type="dxa"/>
            <w:vAlign w:val="center"/>
          </w:tcPr>
          <w:p w14:paraId="26E46B5C">
            <w:pPr>
              <w:spacing w:line="300" w:lineRule="exact"/>
              <w:rPr>
                <w:rFonts w:ascii="仿宋_GB2312" w:eastAsia="仿宋_GB2312"/>
                <w:szCs w:val="21"/>
              </w:rPr>
            </w:pPr>
            <w:r>
              <w:rPr>
                <w:rFonts w:hint="eastAsia" w:ascii="仿宋_GB2312" w:eastAsia="仿宋_GB2312"/>
                <w:szCs w:val="21"/>
              </w:rPr>
              <w:t>2020年</w:t>
            </w:r>
          </w:p>
        </w:tc>
        <w:tc>
          <w:tcPr>
            <w:tcW w:w="2961" w:type="dxa"/>
            <w:vAlign w:val="center"/>
          </w:tcPr>
          <w:p w14:paraId="510EA2BE">
            <w:pPr>
              <w:spacing w:line="300" w:lineRule="exact"/>
              <w:rPr>
                <w:rFonts w:ascii="仿宋_GB2312" w:eastAsia="仿宋_GB2312"/>
                <w:szCs w:val="21"/>
              </w:rPr>
            </w:pPr>
            <w:r>
              <w:rPr>
                <w:rFonts w:hint="eastAsia" w:ascii="仿宋_GB2312" w:eastAsia="仿宋_GB2312"/>
                <w:szCs w:val="21"/>
              </w:rPr>
              <w:t>区经发局、市环保局高新分局</w:t>
            </w:r>
          </w:p>
        </w:tc>
      </w:tr>
      <w:tr w14:paraId="352F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49" w:type="dxa"/>
            <w:vAlign w:val="center"/>
          </w:tcPr>
          <w:p w14:paraId="742828A3">
            <w:pPr>
              <w:spacing w:line="300" w:lineRule="exact"/>
              <w:jc w:val="center"/>
              <w:rPr>
                <w:rFonts w:ascii="仿宋_GB2312" w:eastAsia="仿宋_GB2312"/>
                <w:szCs w:val="21"/>
              </w:rPr>
            </w:pPr>
            <w:r>
              <w:rPr>
                <w:rFonts w:hint="eastAsia" w:ascii="仿宋_GB2312" w:eastAsia="仿宋_GB2312"/>
                <w:szCs w:val="21"/>
              </w:rPr>
              <w:t>4</w:t>
            </w:r>
          </w:p>
        </w:tc>
        <w:tc>
          <w:tcPr>
            <w:tcW w:w="1977" w:type="dxa"/>
            <w:vAlign w:val="center"/>
          </w:tcPr>
          <w:p w14:paraId="58BCBB69">
            <w:pPr>
              <w:spacing w:line="300" w:lineRule="exact"/>
              <w:rPr>
                <w:rFonts w:ascii="仿宋_GB2312" w:eastAsia="仿宋_GB2312"/>
                <w:szCs w:val="21"/>
              </w:rPr>
            </w:pPr>
            <w:r>
              <w:rPr>
                <w:rFonts w:hint="eastAsia" w:ascii="仿宋_GB2312" w:eastAsia="仿宋_GB2312"/>
                <w:szCs w:val="21"/>
              </w:rPr>
              <w:t>工业废水达标排放工程</w:t>
            </w:r>
          </w:p>
        </w:tc>
        <w:tc>
          <w:tcPr>
            <w:tcW w:w="7781" w:type="dxa"/>
            <w:vAlign w:val="center"/>
          </w:tcPr>
          <w:p w14:paraId="01E80982">
            <w:pPr>
              <w:spacing w:line="300" w:lineRule="exact"/>
              <w:rPr>
                <w:rFonts w:ascii="仿宋_GB2312" w:eastAsia="仿宋_GB2312"/>
                <w:szCs w:val="21"/>
              </w:rPr>
            </w:pPr>
            <w:r>
              <w:rPr>
                <w:rFonts w:hint="eastAsia" w:ascii="仿宋_GB2312" w:eastAsia="仿宋_GB2312"/>
                <w:szCs w:val="21"/>
              </w:rPr>
              <w:t>制浆钢铁、水产品、畜禽屠宰行业等重污染行业废水处理工艺手册制订；企业培训；自动监测体系建设等</w:t>
            </w:r>
          </w:p>
        </w:tc>
        <w:tc>
          <w:tcPr>
            <w:tcW w:w="1274" w:type="dxa"/>
            <w:vAlign w:val="center"/>
          </w:tcPr>
          <w:p w14:paraId="4AB96C60">
            <w:pPr>
              <w:spacing w:line="300" w:lineRule="exact"/>
              <w:rPr>
                <w:rFonts w:ascii="仿宋_GB2312" w:eastAsia="仿宋_GB2312"/>
                <w:szCs w:val="21"/>
              </w:rPr>
            </w:pPr>
            <w:r>
              <w:rPr>
                <w:rFonts w:hint="eastAsia" w:ascii="仿宋_GB2312" w:eastAsia="仿宋_GB2312"/>
                <w:szCs w:val="21"/>
              </w:rPr>
              <w:t>2020年</w:t>
            </w:r>
          </w:p>
        </w:tc>
        <w:tc>
          <w:tcPr>
            <w:tcW w:w="2961" w:type="dxa"/>
            <w:vAlign w:val="center"/>
          </w:tcPr>
          <w:p w14:paraId="27C3709E">
            <w:pPr>
              <w:spacing w:line="300" w:lineRule="exact"/>
              <w:rPr>
                <w:rFonts w:ascii="仿宋_GB2312" w:eastAsia="仿宋_GB2312"/>
                <w:szCs w:val="21"/>
              </w:rPr>
            </w:pPr>
            <w:r>
              <w:rPr>
                <w:rFonts w:hint="eastAsia" w:ascii="仿宋_GB2312" w:eastAsia="仿宋_GB2312"/>
                <w:szCs w:val="21"/>
              </w:rPr>
              <w:t>市环保局高新分局</w:t>
            </w:r>
          </w:p>
        </w:tc>
      </w:tr>
    </w:tbl>
    <w:p w14:paraId="106F7272">
      <w:pPr>
        <w:pStyle w:val="61"/>
        <w:spacing w:before="312" w:after="312"/>
        <w:rPr>
          <w:rFonts w:ascii="仿宋_GB2312"/>
        </w:rPr>
      </w:pPr>
    </w:p>
    <w:p w14:paraId="3540B3A9">
      <w:pPr>
        <w:pStyle w:val="61"/>
        <w:spacing w:before="312" w:after="312"/>
        <w:rPr>
          <w:rFonts w:ascii="仿宋_GB2312"/>
        </w:rPr>
      </w:pPr>
    </w:p>
    <w:p w14:paraId="62712783">
      <w:pPr>
        <w:pStyle w:val="61"/>
        <w:spacing w:before="312" w:afterLines="0"/>
        <w:rPr>
          <w:rFonts w:ascii="仿宋_GB2312"/>
        </w:rPr>
      </w:pPr>
      <w:r>
        <w:rPr>
          <w:rFonts w:hint="eastAsia" w:ascii="仿宋_GB2312"/>
        </w:rPr>
        <w:t>附表7  阳江高新区主要工业集聚区排查清单</w:t>
      </w:r>
      <w:bookmarkEnd w:id="27"/>
    </w:p>
    <w:tbl>
      <w:tblPr>
        <w:tblStyle w:val="35"/>
        <w:tblW w:w="14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02"/>
        <w:gridCol w:w="1702"/>
        <w:gridCol w:w="2636"/>
        <w:gridCol w:w="1559"/>
        <w:gridCol w:w="2130"/>
        <w:gridCol w:w="1421"/>
        <w:gridCol w:w="2155"/>
      </w:tblGrid>
      <w:tr w14:paraId="3E21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blHeader/>
          <w:jc w:val="center"/>
        </w:trPr>
        <w:tc>
          <w:tcPr>
            <w:tcW w:w="761" w:type="dxa"/>
            <w:vAlign w:val="center"/>
          </w:tcPr>
          <w:p w14:paraId="7177E959">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序号</w:t>
            </w:r>
          </w:p>
        </w:tc>
        <w:tc>
          <w:tcPr>
            <w:tcW w:w="1702" w:type="dxa"/>
            <w:vAlign w:val="center"/>
          </w:tcPr>
          <w:p w14:paraId="3FECE7C0">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集聚区名称</w:t>
            </w:r>
          </w:p>
        </w:tc>
        <w:tc>
          <w:tcPr>
            <w:tcW w:w="1702" w:type="dxa"/>
            <w:vAlign w:val="center"/>
          </w:tcPr>
          <w:p w14:paraId="2A7BB092">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位置</w:t>
            </w:r>
          </w:p>
        </w:tc>
        <w:tc>
          <w:tcPr>
            <w:tcW w:w="2636" w:type="dxa"/>
            <w:vAlign w:val="center"/>
          </w:tcPr>
          <w:p w14:paraId="5751E016">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主要行业</w:t>
            </w:r>
          </w:p>
        </w:tc>
        <w:tc>
          <w:tcPr>
            <w:tcW w:w="1559" w:type="dxa"/>
            <w:vAlign w:val="center"/>
          </w:tcPr>
          <w:p w14:paraId="64A8A5A0">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批准单位</w:t>
            </w:r>
          </w:p>
        </w:tc>
        <w:tc>
          <w:tcPr>
            <w:tcW w:w="2130" w:type="dxa"/>
            <w:vAlign w:val="center"/>
          </w:tcPr>
          <w:p w14:paraId="5E4070CB">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整治要求</w:t>
            </w:r>
          </w:p>
        </w:tc>
        <w:tc>
          <w:tcPr>
            <w:tcW w:w="1421" w:type="dxa"/>
            <w:vAlign w:val="center"/>
          </w:tcPr>
          <w:p w14:paraId="263D0988">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整治期限</w:t>
            </w:r>
          </w:p>
        </w:tc>
        <w:tc>
          <w:tcPr>
            <w:tcW w:w="2155" w:type="dxa"/>
          </w:tcPr>
          <w:p w14:paraId="5238F5CD">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责任单位</w:t>
            </w:r>
          </w:p>
        </w:tc>
      </w:tr>
      <w:tr w14:paraId="50B4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61" w:type="dxa"/>
            <w:vAlign w:val="center"/>
          </w:tcPr>
          <w:p w14:paraId="6AD8DCEE">
            <w:pPr>
              <w:spacing w:line="300" w:lineRule="exact"/>
              <w:rPr>
                <w:rFonts w:ascii="仿宋_GB2312" w:eastAsia="仿宋_GB2312"/>
                <w:szCs w:val="21"/>
              </w:rPr>
            </w:pPr>
            <w:r>
              <w:rPr>
                <w:rFonts w:hint="eastAsia" w:ascii="仿宋_GB2312" w:eastAsia="仿宋_GB2312"/>
                <w:szCs w:val="21"/>
              </w:rPr>
              <w:t>1</w:t>
            </w:r>
          </w:p>
        </w:tc>
        <w:tc>
          <w:tcPr>
            <w:tcW w:w="1702" w:type="dxa"/>
            <w:vAlign w:val="center"/>
          </w:tcPr>
          <w:p w14:paraId="4558D8A5">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广东阳江港经济开发区</w:t>
            </w:r>
          </w:p>
        </w:tc>
        <w:tc>
          <w:tcPr>
            <w:tcW w:w="1702" w:type="dxa"/>
            <w:vAlign w:val="center"/>
          </w:tcPr>
          <w:p w14:paraId="2D175A6D">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平冈镇吉树阳江港区</w:t>
            </w:r>
          </w:p>
        </w:tc>
        <w:tc>
          <w:tcPr>
            <w:tcW w:w="2636" w:type="dxa"/>
            <w:vAlign w:val="center"/>
          </w:tcPr>
          <w:p w14:paraId="27F15ABC">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码头、港务</w:t>
            </w:r>
          </w:p>
        </w:tc>
        <w:tc>
          <w:tcPr>
            <w:tcW w:w="1559" w:type="dxa"/>
            <w:vAlign w:val="center"/>
          </w:tcPr>
          <w:p w14:paraId="4EF23BA9">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广东省政府</w:t>
            </w:r>
          </w:p>
        </w:tc>
        <w:tc>
          <w:tcPr>
            <w:tcW w:w="2130" w:type="dxa"/>
            <w:vMerge w:val="restart"/>
            <w:vAlign w:val="center"/>
          </w:tcPr>
          <w:p w14:paraId="5FD65169">
            <w:pPr>
              <w:pStyle w:val="57"/>
              <w:spacing w:line="280" w:lineRule="exact"/>
              <w:jc w:val="both"/>
              <w:rPr>
                <w:rFonts w:ascii="仿宋_GB2312" w:eastAsia="仿宋_GB2312"/>
                <w:color w:val="auto"/>
                <w:szCs w:val="21"/>
              </w:rPr>
            </w:pPr>
            <w:r>
              <w:rPr>
                <w:rFonts w:hint="eastAsia" w:ascii="仿宋_GB2312" w:hAnsi="Times New Roman" w:eastAsia="仿宋_GB2312" w:cs="Times New Roman"/>
                <w:color w:val="auto"/>
                <w:kern w:val="2"/>
                <w:sz w:val="21"/>
                <w:szCs w:val="21"/>
              </w:rPr>
              <w:t xml:space="preserve">工业集聚区应按规定建成污水集中处理设施，并安装自动在线监控装置，集聚区内工业废水必须经预处理达到集中处理要求，方可进入污水集中处理设施。 </w:t>
            </w:r>
          </w:p>
        </w:tc>
        <w:tc>
          <w:tcPr>
            <w:tcW w:w="1421" w:type="dxa"/>
            <w:vAlign w:val="center"/>
          </w:tcPr>
          <w:p w14:paraId="02153FDD">
            <w:pPr>
              <w:spacing w:line="300" w:lineRule="exact"/>
              <w:jc w:val="center"/>
              <w:rPr>
                <w:rFonts w:ascii="仿宋_GB2312" w:eastAsia="仿宋_GB2312"/>
                <w:szCs w:val="21"/>
              </w:rPr>
            </w:pPr>
            <w:r>
              <w:rPr>
                <w:rFonts w:hint="eastAsia" w:ascii="仿宋_GB2312" w:eastAsia="仿宋_GB2312"/>
                <w:szCs w:val="21"/>
              </w:rPr>
              <w:t>2017年底</w:t>
            </w:r>
          </w:p>
        </w:tc>
        <w:tc>
          <w:tcPr>
            <w:tcW w:w="2155" w:type="dxa"/>
            <w:vAlign w:val="center"/>
          </w:tcPr>
          <w:p w14:paraId="2475BDFC">
            <w:pPr>
              <w:spacing w:line="300" w:lineRule="exact"/>
              <w:jc w:val="center"/>
              <w:rPr>
                <w:rFonts w:ascii="仿宋_GB2312" w:eastAsia="仿宋_GB2312"/>
                <w:szCs w:val="21"/>
              </w:rPr>
            </w:pPr>
            <w:r>
              <w:rPr>
                <w:rFonts w:hint="eastAsia" w:ascii="仿宋_GB2312" w:eastAsia="仿宋_GB2312"/>
                <w:szCs w:val="21"/>
              </w:rPr>
              <w:t>区规建局、市环保局高新分局、区经发局</w:t>
            </w:r>
          </w:p>
        </w:tc>
      </w:tr>
      <w:tr w14:paraId="7FD5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1" w:type="dxa"/>
            <w:vAlign w:val="center"/>
          </w:tcPr>
          <w:p w14:paraId="0CCD08CE">
            <w:pPr>
              <w:spacing w:line="300" w:lineRule="exact"/>
              <w:rPr>
                <w:rFonts w:ascii="仿宋_GB2312" w:eastAsia="仿宋_GB2312"/>
                <w:szCs w:val="21"/>
              </w:rPr>
            </w:pPr>
            <w:r>
              <w:rPr>
                <w:rFonts w:hint="eastAsia" w:ascii="仿宋_GB2312" w:eastAsia="仿宋_GB2312"/>
                <w:szCs w:val="21"/>
              </w:rPr>
              <w:t>2</w:t>
            </w:r>
          </w:p>
        </w:tc>
        <w:tc>
          <w:tcPr>
            <w:tcW w:w="1702" w:type="dxa"/>
            <w:vAlign w:val="center"/>
          </w:tcPr>
          <w:p w14:paraId="5436E01B">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广东阳江工业园区(阳江高新技术产业开发区)</w:t>
            </w:r>
          </w:p>
        </w:tc>
        <w:tc>
          <w:tcPr>
            <w:tcW w:w="1702" w:type="dxa"/>
            <w:vAlign w:val="center"/>
          </w:tcPr>
          <w:p w14:paraId="42477617">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平冈站港路边高新区管委会</w:t>
            </w:r>
          </w:p>
        </w:tc>
        <w:tc>
          <w:tcPr>
            <w:tcW w:w="2636" w:type="dxa"/>
            <w:vAlign w:val="center"/>
          </w:tcPr>
          <w:p w14:paraId="09F730C9">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金属制品及金属材料产业、食品药品产业、新能源新材料产业三大产业</w:t>
            </w:r>
          </w:p>
        </w:tc>
        <w:tc>
          <w:tcPr>
            <w:tcW w:w="1559" w:type="dxa"/>
            <w:vAlign w:val="center"/>
          </w:tcPr>
          <w:p w14:paraId="596A15BA">
            <w:pPr>
              <w:spacing w:line="300" w:lineRule="exact"/>
              <w:rPr>
                <w:rFonts w:ascii="仿宋_GB2312" w:eastAsia="仿宋_GB2312"/>
                <w:szCs w:val="21"/>
              </w:rPr>
            </w:pPr>
            <w:r>
              <w:rPr>
                <w:rFonts w:hint="eastAsia" w:ascii="仿宋_GB2312" w:eastAsia="仿宋_GB2312"/>
                <w:szCs w:val="21"/>
              </w:rPr>
              <w:t>广东省政府</w:t>
            </w:r>
          </w:p>
        </w:tc>
        <w:tc>
          <w:tcPr>
            <w:tcW w:w="2130" w:type="dxa"/>
            <w:vMerge w:val="continue"/>
            <w:vAlign w:val="center"/>
          </w:tcPr>
          <w:p w14:paraId="2255EBF6">
            <w:pPr>
              <w:spacing w:line="300" w:lineRule="exact"/>
              <w:rPr>
                <w:rFonts w:ascii="仿宋_GB2312" w:eastAsia="仿宋_GB2312"/>
                <w:szCs w:val="21"/>
              </w:rPr>
            </w:pPr>
          </w:p>
        </w:tc>
        <w:tc>
          <w:tcPr>
            <w:tcW w:w="1421" w:type="dxa"/>
            <w:vAlign w:val="center"/>
          </w:tcPr>
          <w:p w14:paraId="39561EF2">
            <w:pPr>
              <w:spacing w:line="300" w:lineRule="exact"/>
              <w:jc w:val="center"/>
              <w:rPr>
                <w:rFonts w:ascii="仿宋_GB2312" w:eastAsia="仿宋_GB2312"/>
                <w:szCs w:val="21"/>
              </w:rPr>
            </w:pPr>
            <w:r>
              <w:rPr>
                <w:rFonts w:hint="eastAsia" w:ascii="仿宋_GB2312" w:eastAsia="仿宋_GB2312"/>
                <w:szCs w:val="21"/>
              </w:rPr>
              <w:t>2017年底</w:t>
            </w:r>
          </w:p>
        </w:tc>
        <w:tc>
          <w:tcPr>
            <w:tcW w:w="2155" w:type="dxa"/>
            <w:vAlign w:val="center"/>
          </w:tcPr>
          <w:p w14:paraId="1B10CC81">
            <w:pPr>
              <w:spacing w:line="300" w:lineRule="exact"/>
              <w:jc w:val="center"/>
              <w:rPr>
                <w:rFonts w:ascii="仿宋_GB2312" w:eastAsia="仿宋_GB2312"/>
                <w:szCs w:val="21"/>
              </w:rPr>
            </w:pPr>
            <w:r>
              <w:rPr>
                <w:rFonts w:hint="eastAsia" w:ascii="仿宋_GB2312" w:eastAsia="仿宋_GB2312"/>
                <w:szCs w:val="21"/>
              </w:rPr>
              <w:t>区规建局、市环保局高新分局、区经发局</w:t>
            </w:r>
          </w:p>
        </w:tc>
      </w:tr>
      <w:tr w14:paraId="7301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1" w:type="dxa"/>
            <w:vAlign w:val="center"/>
          </w:tcPr>
          <w:p w14:paraId="553AC085">
            <w:pPr>
              <w:spacing w:line="300" w:lineRule="exact"/>
              <w:rPr>
                <w:rFonts w:ascii="仿宋_GB2312" w:eastAsia="仿宋_GB2312"/>
                <w:szCs w:val="21"/>
              </w:rPr>
            </w:pPr>
            <w:r>
              <w:rPr>
                <w:rFonts w:hint="eastAsia" w:ascii="仿宋_GB2312" w:eastAsia="仿宋_GB2312"/>
                <w:szCs w:val="21"/>
              </w:rPr>
              <w:t>6</w:t>
            </w:r>
          </w:p>
        </w:tc>
        <w:tc>
          <w:tcPr>
            <w:tcW w:w="1702" w:type="dxa"/>
            <w:vAlign w:val="center"/>
          </w:tcPr>
          <w:p w14:paraId="131681E8">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珠海（阳江）产业转移工业园</w:t>
            </w:r>
          </w:p>
        </w:tc>
        <w:tc>
          <w:tcPr>
            <w:tcW w:w="1702" w:type="dxa"/>
            <w:vAlign w:val="center"/>
          </w:tcPr>
          <w:p w14:paraId="4924FEB0">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阳江高新区核心区</w:t>
            </w:r>
          </w:p>
        </w:tc>
        <w:tc>
          <w:tcPr>
            <w:tcW w:w="2636" w:type="dxa"/>
            <w:vAlign w:val="center"/>
          </w:tcPr>
          <w:p w14:paraId="34DE0D91">
            <w:pPr>
              <w:pStyle w:val="57"/>
              <w:spacing w:line="300" w:lineRule="exact"/>
              <w:rPr>
                <w:rFonts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食品药品</w:t>
            </w:r>
          </w:p>
        </w:tc>
        <w:tc>
          <w:tcPr>
            <w:tcW w:w="1559" w:type="dxa"/>
            <w:vAlign w:val="center"/>
          </w:tcPr>
          <w:p w14:paraId="47D4714F">
            <w:pPr>
              <w:spacing w:line="300" w:lineRule="exact"/>
              <w:rPr>
                <w:rFonts w:ascii="仿宋_GB2312" w:eastAsia="仿宋_GB2312"/>
                <w:szCs w:val="21"/>
              </w:rPr>
            </w:pPr>
            <w:r>
              <w:rPr>
                <w:rFonts w:hint="eastAsia" w:ascii="仿宋_GB2312" w:eastAsia="仿宋_GB2312"/>
                <w:szCs w:val="21"/>
              </w:rPr>
              <w:t>广东省政府</w:t>
            </w:r>
          </w:p>
        </w:tc>
        <w:tc>
          <w:tcPr>
            <w:tcW w:w="2130" w:type="dxa"/>
            <w:vMerge w:val="continue"/>
            <w:vAlign w:val="center"/>
          </w:tcPr>
          <w:p w14:paraId="51DD45B3">
            <w:pPr>
              <w:spacing w:line="300" w:lineRule="exact"/>
              <w:rPr>
                <w:rFonts w:ascii="仿宋_GB2312" w:eastAsia="仿宋_GB2312"/>
                <w:szCs w:val="21"/>
              </w:rPr>
            </w:pPr>
          </w:p>
        </w:tc>
        <w:tc>
          <w:tcPr>
            <w:tcW w:w="1421" w:type="dxa"/>
            <w:vAlign w:val="center"/>
          </w:tcPr>
          <w:p w14:paraId="5D783B8C">
            <w:pPr>
              <w:spacing w:line="300" w:lineRule="exact"/>
              <w:jc w:val="center"/>
              <w:rPr>
                <w:rFonts w:ascii="仿宋_GB2312" w:eastAsia="仿宋_GB2312"/>
                <w:szCs w:val="21"/>
              </w:rPr>
            </w:pPr>
            <w:r>
              <w:rPr>
                <w:rFonts w:hint="eastAsia" w:ascii="仿宋_GB2312" w:eastAsia="仿宋_GB2312"/>
                <w:szCs w:val="21"/>
              </w:rPr>
              <w:t>2017年底</w:t>
            </w:r>
          </w:p>
        </w:tc>
        <w:tc>
          <w:tcPr>
            <w:tcW w:w="2155" w:type="dxa"/>
            <w:vAlign w:val="center"/>
          </w:tcPr>
          <w:p w14:paraId="6A84D1DB">
            <w:pPr>
              <w:spacing w:line="300" w:lineRule="exact"/>
              <w:jc w:val="center"/>
              <w:rPr>
                <w:rFonts w:ascii="仿宋_GB2312" w:eastAsia="仿宋_GB2312"/>
                <w:szCs w:val="21"/>
              </w:rPr>
            </w:pPr>
            <w:r>
              <w:rPr>
                <w:rFonts w:hint="eastAsia" w:ascii="仿宋_GB2312" w:eastAsia="仿宋_GB2312"/>
                <w:szCs w:val="21"/>
              </w:rPr>
              <w:t>区规建局、市环保局高新分局、区经发局</w:t>
            </w:r>
          </w:p>
        </w:tc>
      </w:tr>
    </w:tbl>
    <w:p w14:paraId="1CD59691">
      <w:pPr>
        <w:pStyle w:val="57"/>
        <w:spacing w:line="300" w:lineRule="exact"/>
        <w:rPr>
          <w:rFonts w:hint="eastAsia" w:ascii="仿宋_GB2312" w:hAnsi="Calibri" w:eastAsia="仿宋_GB2312" w:cs="Times New Roman"/>
          <w:b/>
          <w:kern w:val="2"/>
          <w:sz w:val="28"/>
          <w:szCs w:val="22"/>
          <w:lang w:val="en-US" w:eastAsia="zh-CN" w:bidi="ar-SA"/>
        </w:rPr>
      </w:pPr>
      <w:bookmarkStart w:id="28" w:name="_Toc440895537"/>
    </w:p>
    <w:p w14:paraId="70E890B4">
      <w:pPr>
        <w:pStyle w:val="57"/>
        <w:spacing w:line="300" w:lineRule="exact"/>
        <w:ind w:firstLine="3373" w:firstLineChars="1200"/>
        <w:rPr>
          <w:rFonts w:hint="eastAsia" w:ascii="仿宋_GB2312" w:hAnsi="Calibri" w:eastAsia="仿宋_GB2312" w:cs="Times New Roman"/>
          <w:b/>
          <w:kern w:val="2"/>
          <w:sz w:val="28"/>
          <w:szCs w:val="22"/>
          <w:lang w:val="en-US" w:eastAsia="zh-CN" w:bidi="ar-SA"/>
        </w:rPr>
      </w:pPr>
      <w:r>
        <w:rPr>
          <w:rFonts w:hint="eastAsia" w:ascii="仿宋_GB2312" w:hAnsi="Calibri" w:eastAsia="仿宋_GB2312" w:cs="Times New Roman"/>
          <w:b/>
          <w:kern w:val="2"/>
          <w:sz w:val="28"/>
          <w:szCs w:val="22"/>
          <w:lang w:val="en-US" w:eastAsia="zh-CN" w:bidi="ar-SA"/>
        </w:rPr>
        <w:t>附表 8 生态建设重点工程</w:t>
      </w:r>
      <w:bookmarkEnd w:id="28"/>
      <w:r>
        <w:rPr>
          <w:rFonts w:hint="eastAsia" w:ascii="仿宋_GB2312" w:hAnsi="Calibri" w:eastAsia="仿宋_GB2312" w:cs="Times New Roman"/>
          <w:b/>
          <w:kern w:val="2"/>
          <w:sz w:val="28"/>
          <w:szCs w:val="22"/>
          <w:lang w:val="en-US" w:eastAsia="zh-CN" w:bidi="ar-SA"/>
        </w:rPr>
        <w:t>计划(由市级实施，区方案保留相关内容)</w:t>
      </w:r>
    </w:p>
    <w:p w14:paraId="0B1644AC">
      <w:pPr>
        <w:pStyle w:val="57"/>
        <w:spacing w:line="300" w:lineRule="exact"/>
        <w:ind w:firstLine="3373" w:firstLineChars="1200"/>
        <w:rPr>
          <w:rFonts w:hint="eastAsia" w:ascii="仿宋_GB2312" w:hAnsi="Calibri" w:eastAsia="仿宋_GB2312" w:cs="Times New Roman"/>
          <w:b/>
          <w:kern w:val="2"/>
          <w:sz w:val="28"/>
          <w:szCs w:val="22"/>
          <w:lang w:val="en-US" w:eastAsia="zh-CN" w:bidi="ar-SA"/>
        </w:rPr>
      </w:pPr>
    </w:p>
    <w:tbl>
      <w:tblPr>
        <w:tblStyle w:val="3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797"/>
        <w:gridCol w:w="8221"/>
        <w:gridCol w:w="1134"/>
        <w:gridCol w:w="2018"/>
      </w:tblGrid>
      <w:tr w14:paraId="0C56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04" w:type="dxa"/>
          </w:tcPr>
          <w:p w14:paraId="232E9E5F">
            <w:pPr>
              <w:widowControl/>
              <w:spacing w:line="280" w:lineRule="exact"/>
              <w:jc w:val="center"/>
              <w:rPr>
                <w:rFonts w:hint="eastAsia" w:ascii="仿宋_GB2312" w:eastAsia="仿宋_GB2312"/>
                <w:b/>
                <w:bCs/>
                <w:kern w:val="0"/>
                <w:szCs w:val="21"/>
              </w:rPr>
            </w:pPr>
            <w:r>
              <w:rPr>
                <w:rFonts w:hint="eastAsia" w:ascii="仿宋_GB2312" w:eastAsia="仿宋_GB2312"/>
                <w:b/>
                <w:bCs/>
                <w:kern w:val="0"/>
                <w:szCs w:val="21"/>
              </w:rPr>
              <w:t>序号</w:t>
            </w:r>
          </w:p>
        </w:tc>
        <w:tc>
          <w:tcPr>
            <w:tcW w:w="1797" w:type="dxa"/>
          </w:tcPr>
          <w:p w14:paraId="32DA9899">
            <w:pPr>
              <w:widowControl/>
              <w:spacing w:line="280" w:lineRule="exact"/>
              <w:jc w:val="center"/>
              <w:rPr>
                <w:rFonts w:hint="eastAsia" w:ascii="仿宋_GB2312" w:eastAsia="仿宋_GB2312"/>
                <w:b/>
                <w:bCs/>
                <w:kern w:val="0"/>
                <w:szCs w:val="21"/>
              </w:rPr>
            </w:pPr>
            <w:r>
              <w:rPr>
                <w:rFonts w:hint="eastAsia" w:ascii="仿宋_GB2312" w:eastAsia="仿宋_GB2312"/>
                <w:b/>
                <w:bCs/>
                <w:kern w:val="0"/>
                <w:szCs w:val="21"/>
              </w:rPr>
              <w:t>项目名称</w:t>
            </w:r>
          </w:p>
        </w:tc>
        <w:tc>
          <w:tcPr>
            <w:tcW w:w="8221" w:type="dxa"/>
          </w:tcPr>
          <w:p w14:paraId="635B7E9C">
            <w:pPr>
              <w:widowControl/>
              <w:spacing w:line="280" w:lineRule="exact"/>
              <w:jc w:val="center"/>
              <w:rPr>
                <w:rFonts w:hint="eastAsia" w:ascii="仿宋_GB2312" w:eastAsia="仿宋_GB2312"/>
                <w:b/>
                <w:bCs/>
                <w:kern w:val="0"/>
                <w:szCs w:val="21"/>
              </w:rPr>
            </w:pPr>
            <w:r>
              <w:rPr>
                <w:rFonts w:hint="eastAsia" w:ascii="仿宋_GB2312" w:eastAsia="仿宋_GB2312"/>
                <w:b/>
                <w:bCs/>
                <w:kern w:val="0"/>
                <w:szCs w:val="21"/>
              </w:rPr>
              <w:t>建设内容</w:t>
            </w:r>
          </w:p>
        </w:tc>
        <w:tc>
          <w:tcPr>
            <w:tcW w:w="1134" w:type="dxa"/>
          </w:tcPr>
          <w:p w14:paraId="12BDB463">
            <w:pPr>
              <w:widowControl/>
              <w:spacing w:line="280" w:lineRule="exact"/>
              <w:jc w:val="center"/>
              <w:rPr>
                <w:rFonts w:hint="eastAsia" w:ascii="仿宋_GB2312" w:eastAsia="仿宋_GB2312"/>
                <w:b/>
                <w:bCs/>
                <w:kern w:val="0"/>
                <w:szCs w:val="21"/>
              </w:rPr>
            </w:pPr>
            <w:r>
              <w:rPr>
                <w:rFonts w:hint="eastAsia" w:ascii="仿宋_GB2312" w:eastAsia="仿宋_GB2312"/>
                <w:b/>
                <w:bCs/>
                <w:kern w:val="0"/>
                <w:szCs w:val="21"/>
              </w:rPr>
              <w:t>完成年份</w:t>
            </w:r>
          </w:p>
        </w:tc>
        <w:tc>
          <w:tcPr>
            <w:tcW w:w="2018" w:type="dxa"/>
          </w:tcPr>
          <w:p w14:paraId="113237D1">
            <w:pPr>
              <w:widowControl/>
              <w:spacing w:line="280" w:lineRule="exact"/>
              <w:jc w:val="center"/>
              <w:rPr>
                <w:rFonts w:hint="eastAsia" w:ascii="仿宋_GB2312" w:eastAsia="仿宋_GB2312"/>
                <w:b/>
                <w:bCs/>
                <w:kern w:val="0"/>
                <w:szCs w:val="21"/>
              </w:rPr>
            </w:pPr>
            <w:r>
              <w:rPr>
                <w:rFonts w:hint="eastAsia" w:ascii="仿宋_GB2312" w:eastAsia="仿宋_GB2312"/>
                <w:b/>
                <w:bCs/>
                <w:kern w:val="0"/>
                <w:szCs w:val="21"/>
              </w:rPr>
              <w:t>责任单位</w:t>
            </w:r>
          </w:p>
        </w:tc>
      </w:tr>
      <w:tr w14:paraId="774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3F67B0E5">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1</w:t>
            </w:r>
          </w:p>
        </w:tc>
        <w:tc>
          <w:tcPr>
            <w:tcW w:w="1797" w:type="dxa"/>
          </w:tcPr>
          <w:p w14:paraId="5B638DD2">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水源涵养林及水土保持林工程</w:t>
            </w:r>
          </w:p>
        </w:tc>
        <w:tc>
          <w:tcPr>
            <w:tcW w:w="8221" w:type="dxa"/>
          </w:tcPr>
          <w:p w14:paraId="64BAB871">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根据《阳江市水污染防治工作方案》统筹计划，开展水库库区水源涵养林与水土保持林建设。</w:t>
            </w:r>
          </w:p>
        </w:tc>
        <w:tc>
          <w:tcPr>
            <w:tcW w:w="1134" w:type="dxa"/>
          </w:tcPr>
          <w:p w14:paraId="6F1EE9BD">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2020年</w:t>
            </w:r>
          </w:p>
        </w:tc>
        <w:tc>
          <w:tcPr>
            <w:tcW w:w="2018" w:type="dxa"/>
          </w:tcPr>
          <w:p w14:paraId="5267B5B0">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市林业局、市环保局</w:t>
            </w:r>
          </w:p>
        </w:tc>
      </w:tr>
      <w:tr w14:paraId="6F47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26A55EAB">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2</w:t>
            </w:r>
          </w:p>
        </w:tc>
        <w:tc>
          <w:tcPr>
            <w:tcW w:w="1797" w:type="dxa"/>
          </w:tcPr>
          <w:p w14:paraId="56DD2607">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沿海防护林及红树林工程</w:t>
            </w:r>
          </w:p>
        </w:tc>
        <w:tc>
          <w:tcPr>
            <w:tcW w:w="8221" w:type="dxa"/>
          </w:tcPr>
          <w:p w14:paraId="3E86324E">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根据《阳江市水污染防治工作方案》统筹计划，开展建设沿海防护林和保护与恢复红树林工程建设，其中建设沿海防护林包括海岸基干林带和纵深防护林建设。</w:t>
            </w:r>
          </w:p>
        </w:tc>
        <w:tc>
          <w:tcPr>
            <w:tcW w:w="1134" w:type="dxa"/>
          </w:tcPr>
          <w:p w14:paraId="177F61DA">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2020年</w:t>
            </w:r>
          </w:p>
        </w:tc>
        <w:tc>
          <w:tcPr>
            <w:tcW w:w="2018" w:type="dxa"/>
          </w:tcPr>
          <w:p w14:paraId="6CCDB229">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市海洋渔业局、市林业局、市环保局</w:t>
            </w:r>
          </w:p>
        </w:tc>
      </w:tr>
      <w:tr w14:paraId="0370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48BF5BFD">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3</w:t>
            </w:r>
          </w:p>
        </w:tc>
        <w:tc>
          <w:tcPr>
            <w:tcW w:w="1797" w:type="dxa"/>
          </w:tcPr>
          <w:p w14:paraId="64252453">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水土流失治理工程</w:t>
            </w:r>
          </w:p>
        </w:tc>
        <w:tc>
          <w:tcPr>
            <w:tcW w:w="8221" w:type="dxa"/>
          </w:tcPr>
          <w:p w14:paraId="700D83E2">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修建拦水沟埂、水簸箕、鱼鳞坑、沟头防护、谷坊、拦砂坝等。</w:t>
            </w:r>
          </w:p>
        </w:tc>
        <w:tc>
          <w:tcPr>
            <w:tcW w:w="1134" w:type="dxa"/>
          </w:tcPr>
          <w:p w14:paraId="4C46E46A">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2015年</w:t>
            </w:r>
          </w:p>
        </w:tc>
        <w:tc>
          <w:tcPr>
            <w:tcW w:w="2018" w:type="dxa"/>
          </w:tcPr>
          <w:p w14:paraId="48B7E5FD">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市林业局、市环保局</w:t>
            </w:r>
          </w:p>
        </w:tc>
      </w:tr>
      <w:tr w14:paraId="6217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6814976E">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4</w:t>
            </w:r>
          </w:p>
        </w:tc>
        <w:tc>
          <w:tcPr>
            <w:tcW w:w="1797" w:type="dxa"/>
          </w:tcPr>
          <w:p w14:paraId="51B9CAB1">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流域生态排水系统工程</w:t>
            </w:r>
          </w:p>
        </w:tc>
        <w:tc>
          <w:tcPr>
            <w:tcW w:w="8221" w:type="dxa"/>
          </w:tcPr>
          <w:p w14:paraId="38622BDF">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调查流域内的生态排水状况，对现有生态排水渠进行维护，对已丧失功能的生态排水渠进行生态化改造，如清淤、一定程度的拓宽与植被维护等。</w:t>
            </w:r>
          </w:p>
        </w:tc>
        <w:tc>
          <w:tcPr>
            <w:tcW w:w="1134" w:type="dxa"/>
          </w:tcPr>
          <w:p w14:paraId="61D654E9">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2017年</w:t>
            </w:r>
          </w:p>
        </w:tc>
        <w:tc>
          <w:tcPr>
            <w:tcW w:w="2018" w:type="dxa"/>
          </w:tcPr>
          <w:p w14:paraId="4913AB95">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市环保局、市林业局</w:t>
            </w:r>
          </w:p>
        </w:tc>
      </w:tr>
      <w:tr w14:paraId="2B7D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509CBB4D">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5</w:t>
            </w:r>
          </w:p>
        </w:tc>
        <w:tc>
          <w:tcPr>
            <w:tcW w:w="1797" w:type="dxa"/>
          </w:tcPr>
          <w:p w14:paraId="29B288DE">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城镇绿化工程</w:t>
            </w:r>
          </w:p>
        </w:tc>
        <w:tc>
          <w:tcPr>
            <w:tcW w:w="8221" w:type="dxa"/>
          </w:tcPr>
          <w:p w14:paraId="3B5D0DE2">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建立和完善以城镇公园、道路绿化、沿河林带、社区绿地为主的城镇绿地系统，区建成的绿化覆盖率不低于45%，人均公共绿地面积不低于14m2。</w:t>
            </w:r>
          </w:p>
        </w:tc>
        <w:tc>
          <w:tcPr>
            <w:tcW w:w="1134" w:type="dxa"/>
          </w:tcPr>
          <w:p w14:paraId="55ADB615">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2020年</w:t>
            </w:r>
          </w:p>
        </w:tc>
        <w:tc>
          <w:tcPr>
            <w:tcW w:w="2018" w:type="dxa"/>
          </w:tcPr>
          <w:p w14:paraId="7DB1A1AE">
            <w:pPr>
              <w:pStyle w:val="57"/>
              <w:spacing w:line="300" w:lineRule="exact"/>
              <w:rPr>
                <w:rFonts w:hint="eastAsia" w:ascii="仿宋_GB2312" w:hAnsi="Times New Roman" w:eastAsia="仿宋_GB2312" w:cs="Times New Roman"/>
                <w:color w:val="auto"/>
                <w:kern w:val="2"/>
                <w:sz w:val="21"/>
                <w:szCs w:val="21"/>
              </w:rPr>
            </w:pPr>
            <w:r>
              <w:rPr>
                <w:rFonts w:hint="eastAsia" w:ascii="仿宋_GB2312" w:hAnsi="Times New Roman" w:eastAsia="仿宋_GB2312" w:cs="Times New Roman"/>
                <w:color w:val="auto"/>
                <w:kern w:val="2"/>
                <w:sz w:val="21"/>
                <w:szCs w:val="21"/>
              </w:rPr>
              <w:t>市住建局、市环保局</w:t>
            </w:r>
          </w:p>
        </w:tc>
      </w:tr>
    </w:tbl>
    <w:p w14:paraId="7EBCEBF5">
      <w:pPr>
        <w:pStyle w:val="61"/>
        <w:spacing w:before="312" w:afterLines="0"/>
        <w:rPr>
          <w:rFonts w:ascii="仿宋_GB2312"/>
        </w:rPr>
      </w:pPr>
      <w:bookmarkStart w:id="29" w:name="_Toc440895538"/>
      <w:r>
        <w:rPr>
          <w:rFonts w:hint="eastAsia" w:ascii="仿宋_GB2312"/>
        </w:rPr>
        <w:t>附表9 阳江市美丽乡村建设任务计划</w:t>
      </w:r>
      <w:bookmarkEnd w:id="29"/>
    </w:p>
    <w:tbl>
      <w:tblPr>
        <w:tblStyle w:val="3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477"/>
        <w:gridCol w:w="1477"/>
        <w:gridCol w:w="1477"/>
        <w:gridCol w:w="1477"/>
        <w:gridCol w:w="1477"/>
        <w:gridCol w:w="1477"/>
        <w:gridCol w:w="3714"/>
      </w:tblGrid>
      <w:tr w14:paraId="12A7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blHeader/>
          <w:jc w:val="center"/>
        </w:trPr>
        <w:tc>
          <w:tcPr>
            <w:tcW w:w="1598" w:type="dxa"/>
            <w:vAlign w:val="center"/>
          </w:tcPr>
          <w:p w14:paraId="360D94D5">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年度</w:t>
            </w:r>
          </w:p>
        </w:tc>
        <w:tc>
          <w:tcPr>
            <w:tcW w:w="1477" w:type="dxa"/>
            <w:vAlign w:val="center"/>
          </w:tcPr>
          <w:p w14:paraId="38D29EF6">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2016年</w:t>
            </w:r>
          </w:p>
        </w:tc>
        <w:tc>
          <w:tcPr>
            <w:tcW w:w="1477" w:type="dxa"/>
            <w:vAlign w:val="center"/>
          </w:tcPr>
          <w:p w14:paraId="7FA48A01">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2017年</w:t>
            </w:r>
          </w:p>
        </w:tc>
        <w:tc>
          <w:tcPr>
            <w:tcW w:w="1477" w:type="dxa"/>
            <w:vAlign w:val="center"/>
          </w:tcPr>
          <w:p w14:paraId="3604A7D6">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2018年</w:t>
            </w:r>
          </w:p>
        </w:tc>
        <w:tc>
          <w:tcPr>
            <w:tcW w:w="1477" w:type="dxa"/>
            <w:vAlign w:val="center"/>
          </w:tcPr>
          <w:p w14:paraId="34F682C9">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2019年</w:t>
            </w:r>
          </w:p>
        </w:tc>
        <w:tc>
          <w:tcPr>
            <w:tcW w:w="1477" w:type="dxa"/>
            <w:vAlign w:val="center"/>
          </w:tcPr>
          <w:p w14:paraId="6F6A9D2A">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2020年</w:t>
            </w:r>
          </w:p>
        </w:tc>
        <w:tc>
          <w:tcPr>
            <w:tcW w:w="1477" w:type="dxa"/>
            <w:vAlign w:val="center"/>
          </w:tcPr>
          <w:p w14:paraId="390C52B1">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合计</w:t>
            </w:r>
          </w:p>
        </w:tc>
        <w:tc>
          <w:tcPr>
            <w:tcW w:w="3714" w:type="dxa"/>
            <w:vAlign w:val="center"/>
          </w:tcPr>
          <w:p w14:paraId="6525A390">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责任单位</w:t>
            </w:r>
          </w:p>
        </w:tc>
      </w:tr>
      <w:tr w14:paraId="441C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598" w:type="dxa"/>
            <w:vAlign w:val="center"/>
          </w:tcPr>
          <w:p w14:paraId="69AF368A">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数量（条）</w:t>
            </w:r>
          </w:p>
        </w:tc>
        <w:tc>
          <w:tcPr>
            <w:tcW w:w="1477" w:type="dxa"/>
            <w:vAlign w:val="center"/>
          </w:tcPr>
          <w:p w14:paraId="5D8C9173">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3</w:t>
            </w:r>
          </w:p>
        </w:tc>
        <w:tc>
          <w:tcPr>
            <w:tcW w:w="1477" w:type="dxa"/>
            <w:vAlign w:val="center"/>
          </w:tcPr>
          <w:p w14:paraId="6F13B54F">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3</w:t>
            </w:r>
          </w:p>
        </w:tc>
        <w:tc>
          <w:tcPr>
            <w:tcW w:w="1477" w:type="dxa"/>
            <w:vAlign w:val="center"/>
          </w:tcPr>
          <w:p w14:paraId="45396EC3">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5</w:t>
            </w:r>
          </w:p>
        </w:tc>
        <w:tc>
          <w:tcPr>
            <w:tcW w:w="1477" w:type="dxa"/>
            <w:vAlign w:val="center"/>
          </w:tcPr>
          <w:p w14:paraId="446DDA2B">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5</w:t>
            </w:r>
          </w:p>
        </w:tc>
        <w:tc>
          <w:tcPr>
            <w:tcW w:w="1477" w:type="dxa"/>
            <w:vAlign w:val="center"/>
          </w:tcPr>
          <w:p w14:paraId="4EDB4B91">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6</w:t>
            </w:r>
          </w:p>
        </w:tc>
        <w:tc>
          <w:tcPr>
            <w:tcW w:w="1477" w:type="dxa"/>
            <w:vAlign w:val="center"/>
          </w:tcPr>
          <w:p w14:paraId="7FBD0758">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22</w:t>
            </w:r>
          </w:p>
        </w:tc>
        <w:tc>
          <w:tcPr>
            <w:tcW w:w="3714" w:type="dxa"/>
            <w:vAlign w:val="center"/>
          </w:tcPr>
          <w:p w14:paraId="316822EC">
            <w:pPr>
              <w:widowControl/>
              <w:spacing w:line="280" w:lineRule="exact"/>
              <w:jc w:val="center"/>
              <w:rPr>
                <w:rFonts w:ascii="仿宋_GB2312" w:eastAsia="仿宋_GB2312"/>
                <w:b/>
                <w:bCs/>
                <w:kern w:val="0"/>
                <w:szCs w:val="21"/>
              </w:rPr>
            </w:pPr>
            <w:r>
              <w:rPr>
                <w:rFonts w:hint="eastAsia" w:ascii="仿宋_GB2312" w:eastAsia="仿宋_GB2312"/>
                <w:b/>
                <w:bCs/>
                <w:kern w:val="0"/>
                <w:szCs w:val="21"/>
              </w:rPr>
              <w:t>区农村事务局、区规划建设和交通局</w:t>
            </w:r>
          </w:p>
        </w:tc>
      </w:tr>
    </w:tbl>
    <w:p w14:paraId="4F4142F6">
      <w:pPr>
        <w:pStyle w:val="61"/>
        <w:spacing w:before="312" w:afterLines="0"/>
        <w:rPr>
          <w:rFonts w:ascii="仿宋_GB2312"/>
        </w:rPr>
      </w:pPr>
      <w:bookmarkStart w:id="30" w:name="_Toc440895539"/>
      <w:r>
        <w:rPr>
          <w:rFonts w:hint="eastAsia" w:ascii="仿宋_GB2312"/>
        </w:rPr>
        <w:t>附表12 水环境监管重点建设工程</w:t>
      </w:r>
      <w:bookmarkEnd w:id="30"/>
      <w:r>
        <w:rPr>
          <w:rFonts w:hint="eastAsia" w:ascii="仿宋_GB2312"/>
        </w:rPr>
        <w:t>计划</w:t>
      </w:r>
    </w:p>
    <w:tbl>
      <w:tblPr>
        <w:tblStyle w:val="3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554"/>
        <w:gridCol w:w="8079"/>
        <w:gridCol w:w="1276"/>
        <w:gridCol w:w="1449"/>
      </w:tblGrid>
      <w:tr w14:paraId="69BA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6" w:type="dxa"/>
          </w:tcPr>
          <w:p w14:paraId="2BC3B05B">
            <w:pPr>
              <w:pStyle w:val="44"/>
              <w:spacing w:line="360" w:lineRule="auto"/>
              <w:jc w:val="center"/>
              <w:rPr>
                <w:rFonts w:ascii="仿宋_GB2312" w:hAnsi="Calibri" w:eastAsia="仿宋_GB2312"/>
                <w:b/>
                <w:kern w:val="2"/>
                <w:sz w:val="21"/>
                <w:szCs w:val="21"/>
              </w:rPr>
            </w:pPr>
            <w:r>
              <w:rPr>
                <w:rFonts w:hint="eastAsia" w:ascii="仿宋_GB2312" w:hAnsi="Calibri" w:eastAsia="仿宋_GB2312"/>
                <w:b/>
                <w:kern w:val="2"/>
                <w:sz w:val="21"/>
                <w:szCs w:val="21"/>
              </w:rPr>
              <w:t>序号</w:t>
            </w:r>
          </w:p>
        </w:tc>
        <w:tc>
          <w:tcPr>
            <w:tcW w:w="2554" w:type="dxa"/>
          </w:tcPr>
          <w:p w14:paraId="29D9D17B">
            <w:pPr>
              <w:pStyle w:val="44"/>
              <w:spacing w:line="360" w:lineRule="auto"/>
              <w:jc w:val="center"/>
              <w:rPr>
                <w:rFonts w:ascii="仿宋_GB2312" w:hAnsi="Calibri" w:eastAsia="仿宋_GB2312"/>
                <w:b/>
                <w:kern w:val="2"/>
                <w:sz w:val="21"/>
                <w:szCs w:val="21"/>
              </w:rPr>
            </w:pPr>
            <w:r>
              <w:rPr>
                <w:rFonts w:hint="eastAsia" w:ascii="仿宋_GB2312" w:hAnsi="Calibri" w:eastAsia="仿宋_GB2312"/>
                <w:b/>
                <w:kern w:val="2"/>
                <w:sz w:val="21"/>
                <w:szCs w:val="21"/>
              </w:rPr>
              <w:t>项目名称</w:t>
            </w:r>
          </w:p>
        </w:tc>
        <w:tc>
          <w:tcPr>
            <w:tcW w:w="8079" w:type="dxa"/>
          </w:tcPr>
          <w:p w14:paraId="007AEAEE">
            <w:pPr>
              <w:pStyle w:val="44"/>
              <w:spacing w:line="360" w:lineRule="auto"/>
              <w:jc w:val="center"/>
              <w:rPr>
                <w:rFonts w:ascii="仿宋_GB2312" w:hAnsi="Calibri" w:eastAsia="仿宋_GB2312"/>
                <w:b/>
                <w:kern w:val="2"/>
                <w:sz w:val="21"/>
                <w:szCs w:val="21"/>
              </w:rPr>
            </w:pPr>
            <w:r>
              <w:rPr>
                <w:rFonts w:hint="eastAsia" w:ascii="仿宋_GB2312" w:hAnsi="Calibri" w:eastAsia="仿宋_GB2312"/>
                <w:b/>
                <w:kern w:val="2"/>
                <w:sz w:val="21"/>
                <w:szCs w:val="21"/>
              </w:rPr>
              <w:t>建设内容</w:t>
            </w:r>
          </w:p>
        </w:tc>
        <w:tc>
          <w:tcPr>
            <w:tcW w:w="1276" w:type="dxa"/>
          </w:tcPr>
          <w:p w14:paraId="5BBD1C5C">
            <w:pPr>
              <w:pStyle w:val="44"/>
              <w:spacing w:line="360" w:lineRule="auto"/>
              <w:jc w:val="center"/>
              <w:rPr>
                <w:rFonts w:ascii="仿宋_GB2312" w:hAnsi="Calibri" w:eastAsia="仿宋_GB2312"/>
                <w:b/>
                <w:kern w:val="2"/>
                <w:sz w:val="21"/>
                <w:szCs w:val="21"/>
              </w:rPr>
            </w:pPr>
            <w:r>
              <w:rPr>
                <w:rFonts w:hint="eastAsia" w:ascii="仿宋_GB2312" w:hAnsi="Calibri" w:eastAsia="仿宋_GB2312"/>
                <w:b/>
                <w:kern w:val="2"/>
                <w:sz w:val="21"/>
                <w:szCs w:val="21"/>
              </w:rPr>
              <w:t>完成年份</w:t>
            </w:r>
          </w:p>
        </w:tc>
        <w:tc>
          <w:tcPr>
            <w:tcW w:w="1449" w:type="dxa"/>
          </w:tcPr>
          <w:p w14:paraId="680BFE52">
            <w:pPr>
              <w:pStyle w:val="44"/>
              <w:spacing w:line="360" w:lineRule="auto"/>
              <w:jc w:val="center"/>
              <w:rPr>
                <w:rFonts w:ascii="仿宋_GB2312" w:hAnsi="Calibri" w:eastAsia="仿宋_GB2312"/>
                <w:b/>
                <w:kern w:val="2"/>
                <w:sz w:val="21"/>
                <w:szCs w:val="21"/>
              </w:rPr>
            </w:pPr>
            <w:r>
              <w:rPr>
                <w:rFonts w:hint="eastAsia" w:ascii="仿宋_GB2312" w:hAnsi="Calibri" w:eastAsia="仿宋_GB2312"/>
                <w:b/>
                <w:kern w:val="2"/>
                <w:sz w:val="21"/>
                <w:szCs w:val="21"/>
              </w:rPr>
              <w:t>责任单位</w:t>
            </w:r>
          </w:p>
        </w:tc>
      </w:tr>
      <w:tr w14:paraId="38EE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97B3CB3">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1</w:t>
            </w:r>
          </w:p>
        </w:tc>
        <w:tc>
          <w:tcPr>
            <w:tcW w:w="2554" w:type="dxa"/>
            <w:vAlign w:val="center"/>
          </w:tcPr>
          <w:p w14:paraId="30BD81AF">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环境监测站达标建设工程</w:t>
            </w:r>
          </w:p>
        </w:tc>
        <w:tc>
          <w:tcPr>
            <w:tcW w:w="8079" w:type="dxa"/>
            <w:vAlign w:val="center"/>
          </w:tcPr>
          <w:p w14:paraId="3FA95C79">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依托阳江市环境监测站。</w:t>
            </w:r>
          </w:p>
        </w:tc>
        <w:tc>
          <w:tcPr>
            <w:tcW w:w="1276" w:type="dxa"/>
            <w:vAlign w:val="center"/>
          </w:tcPr>
          <w:p w14:paraId="71D2129A">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2015年</w:t>
            </w:r>
          </w:p>
        </w:tc>
        <w:tc>
          <w:tcPr>
            <w:tcW w:w="1449" w:type="dxa"/>
            <w:vMerge w:val="restart"/>
            <w:vAlign w:val="center"/>
          </w:tcPr>
          <w:p w14:paraId="1DD3CE3B">
            <w:pPr>
              <w:pStyle w:val="44"/>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仿宋_GB2312" w:hAnsi="Calibri" w:eastAsia="仿宋_GB2312"/>
                <w:kern w:val="2"/>
                <w:sz w:val="21"/>
                <w:szCs w:val="21"/>
              </w:rPr>
            </w:pPr>
            <w:r>
              <w:rPr>
                <w:rFonts w:hint="eastAsia" w:ascii="仿宋_GB2312" w:hAnsi="Calibri" w:eastAsia="仿宋_GB2312"/>
                <w:kern w:val="2"/>
                <w:sz w:val="21"/>
                <w:szCs w:val="21"/>
              </w:rPr>
              <w:t>市环保局高新分局</w:t>
            </w:r>
          </w:p>
        </w:tc>
      </w:tr>
      <w:tr w14:paraId="20D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B518BB0">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2</w:t>
            </w:r>
          </w:p>
        </w:tc>
        <w:tc>
          <w:tcPr>
            <w:tcW w:w="2554" w:type="dxa"/>
            <w:vAlign w:val="center"/>
          </w:tcPr>
          <w:p w14:paraId="4F51DA25">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水环境监测网建设</w:t>
            </w:r>
          </w:p>
        </w:tc>
        <w:tc>
          <w:tcPr>
            <w:tcW w:w="8079" w:type="dxa"/>
            <w:vAlign w:val="center"/>
          </w:tcPr>
          <w:p w14:paraId="641A906C">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依托阳江市环境监测站。</w:t>
            </w:r>
          </w:p>
        </w:tc>
        <w:tc>
          <w:tcPr>
            <w:tcW w:w="1276" w:type="dxa"/>
            <w:vAlign w:val="center"/>
          </w:tcPr>
          <w:p w14:paraId="0CFCE6D8">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2020年</w:t>
            </w:r>
          </w:p>
        </w:tc>
        <w:tc>
          <w:tcPr>
            <w:tcW w:w="1449" w:type="dxa"/>
            <w:vMerge w:val="continue"/>
            <w:vAlign w:val="center"/>
          </w:tcPr>
          <w:p w14:paraId="119AF3F1">
            <w:pPr>
              <w:pStyle w:val="44"/>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仿宋_GB2312" w:hAnsi="Calibri" w:eastAsia="仿宋_GB2312"/>
                <w:kern w:val="2"/>
                <w:sz w:val="21"/>
                <w:szCs w:val="21"/>
              </w:rPr>
            </w:pPr>
          </w:p>
        </w:tc>
      </w:tr>
      <w:tr w14:paraId="2C5B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F66F3AD">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3</w:t>
            </w:r>
          </w:p>
        </w:tc>
        <w:tc>
          <w:tcPr>
            <w:tcW w:w="2554" w:type="dxa"/>
            <w:vAlign w:val="center"/>
          </w:tcPr>
          <w:p w14:paraId="51DE05BD">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环境监察能力建设</w:t>
            </w:r>
          </w:p>
        </w:tc>
        <w:tc>
          <w:tcPr>
            <w:tcW w:w="8079" w:type="dxa"/>
            <w:vAlign w:val="center"/>
          </w:tcPr>
          <w:p w14:paraId="4E3529E5">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监察用执法车辆、仪器、设备配备等。</w:t>
            </w:r>
          </w:p>
        </w:tc>
        <w:tc>
          <w:tcPr>
            <w:tcW w:w="1276" w:type="dxa"/>
            <w:vAlign w:val="center"/>
          </w:tcPr>
          <w:p w14:paraId="5209C442">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2015年</w:t>
            </w:r>
          </w:p>
        </w:tc>
        <w:tc>
          <w:tcPr>
            <w:tcW w:w="1449" w:type="dxa"/>
            <w:vAlign w:val="center"/>
          </w:tcPr>
          <w:p w14:paraId="7F2F6F93">
            <w:pPr>
              <w:pStyle w:val="44"/>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仿宋_GB2312" w:hAnsi="Calibri" w:eastAsia="仿宋_GB2312"/>
                <w:kern w:val="2"/>
                <w:sz w:val="21"/>
                <w:szCs w:val="21"/>
              </w:rPr>
            </w:pPr>
            <w:r>
              <w:rPr>
                <w:rFonts w:hint="eastAsia" w:ascii="仿宋_GB2312" w:hAnsi="Calibri" w:eastAsia="仿宋_GB2312"/>
                <w:kern w:val="2"/>
                <w:sz w:val="21"/>
                <w:szCs w:val="21"/>
              </w:rPr>
              <w:t>市环保局高新分局</w:t>
            </w:r>
            <w:r>
              <w:rPr>
                <w:rFonts w:hint="eastAsia" w:ascii="仿宋_GB2312" w:hAnsi="Calibri" w:eastAsia="仿宋_GB2312"/>
                <w:kern w:val="2"/>
                <w:sz w:val="21"/>
                <w:szCs w:val="21"/>
                <w:lang w:eastAsia="zh-CN"/>
              </w:rPr>
              <w:t>、区综合行政执法局</w:t>
            </w:r>
          </w:p>
        </w:tc>
      </w:tr>
      <w:tr w14:paraId="569E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215850C">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4</w:t>
            </w:r>
          </w:p>
        </w:tc>
        <w:tc>
          <w:tcPr>
            <w:tcW w:w="2554" w:type="dxa"/>
            <w:vAlign w:val="center"/>
          </w:tcPr>
          <w:p w14:paraId="085252E0">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水环境预警监控体系建设</w:t>
            </w:r>
          </w:p>
        </w:tc>
        <w:tc>
          <w:tcPr>
            <w:tcW w:w="8079" w:type="dxa"/>
            <w:vAlign w:val="center"/>
          </w:tcPr>
          <w:p w14:paraId="71704E63">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依托阳江市环境监测站。</w:t>
            </w:r>
          </w:p>
        </w:tc>
        <w:tc>
          <w:tcPr>
            <w:tcW w:w="1276" w:type="dxa"/>
            <w:vAlign w:val="center"/>
          </w:tcPr>
          <w:p w14:paraId="346395A8">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2020年</w:t>
            </w:r>
          </w:p>
        </w:tc>
        <w:tc>
          <w:tcPr>
            <w:tcW w:w="1449" w:type="dxa"/>
            <w:vMerge w:val="restart"/>
            <w:vAlign w:val="center"/>
          </w:tcPr>
          <w:p w14:paraId="3ADE5426">
            <w:pPr>
              <w:pStyle w:val="44"/>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仿宋_GB2312" w:hAnsi="Calibri" w:eastAsia="仿宋_GB2312"/>
                <w:kern w:val="2"/>
                <w:sz w:val="21"/>
                <w:szCs w:val="21"/>
              </w:rPr>
            </w:pPr>
            <w:r>
              <w:rPr>
                <w:rFonts w:hint="eastAsia" w:ascii="仿宋_GB2312" w:hAnsi="Calibri" w:eastAsia="仿宋_GB2312"/>
                <w:kern w:val="2"/>
                <w:sz w:val="21"/>
                <w:szCs w:val="21"/>
              </w:rPr>
              <w:t>市环保局高新分局</w:t>
            </w:r>
          </w:p>
        </w:tc>
      </w:tr>
      <w:tr w14:paraId="496C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D232595">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5</w:t>
            </w:r>
          </w:p>
        </w:tc>
        <w:tc>
          <w:tcPr>
            <w:tcW w:w="2554" w:type="dxa"/>
            <w:vAlign w:val="center"/>
          </w:tcPr>
          <w:p w14:paraId="5B518E5F">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应急能力建设</w:t>
            </w:r>
          </w:p>
        </w:tc>
        <w:tc>
          <w:tcPr>
            <w:tcW w:w="8079" w:type="dxa"/>
            <w:vAlign w:val="center"/>
          </w:tcPr>
          <w:p w14:paraId="2E4747C0">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依托阳江市环境监测站。</w:t>
            </w:r>
          </w:p>
        </w:tc>
        <w:tc>
          <w:tcPr>
            <w:tcW w:w="1276" w:type="dxa"/>
            <w:vAlign w:val="center"/>
          </w:tcPr>
          <w:p w14:paraId="483742E2">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2020年</w:t>
            </w:r>
          </w:p>
        </w:tc>
        <w:tc>
          <w:tcPr>
            <w:tcW w:w="1449" w:type="dxa"/>
            <w:vMerge w:val="continue"/>
            <w:vAlign w:val="center"/>
          </w:tcPr>
          <w:p w14:paraId="36EEC3E0">
            <w:pPr>
              <w:pStyle w:val="44"/>
              <w:spacing w:line="360" w:lineRule="auto"/>
              <w:jc w:val="center"/>
              <w:rPr>
                <w:rFonts w:ascii="仿宋_GB2312" w:hAnsi="Calibri" w:eastAsia="仿宋_GB2312"/>
                <w:kern w:val="2"/>
                <w:sz w:val="21"/>
                <w:szCs w:val="21"/>
              </w:rPr>
            </w:pPr>
          </w:p>
        </w:tc>
      </w:tr>
      <w:tr w14:paraId="04C8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B175286">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6</w:t>
            </w:r>
          </w:p>
        </w:tc>
        <w:tc>
          <w:tcPr>
            <w:tcW w:w="2554" w:type="dxa"/>
            <w:vAlign w:val="center"/>
          </w:tcPr>
          <w:p w14:paraId="0A945C0A">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重点水污染源在线监测系统建设</w:t>
            </w:r>
          </w:p>
        </w:tc>
        <w:tc>
          <w:tcPr>
            <w:tcW w:w="8079" w:type="dxa"/>
            <w:vAlign w:val="center"/>
          </w:tcPr>
          <w:p w14:paraId="527C6634">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省控、市控重点水污染源在线联网监测系统建设</w:t>
            </w:r>
          </w:p>
        </w:tc>
        <w:tc>
          <w:tcPr>
            <w:tcW w:w="1276" w:type="dxa"/>
            <w:vAlign w:val="center"/>
          </w:tcPr>
          <w:p w14:paraId="3282D4D3">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2020年</w:t>
            </w:r>
          </w:p>
        </w:tc>
        <w:tc>
          <w:tcPr>
            <w:tcW w:w="1449" w:type="dxa"/>
            <w:vMerge w:val="continue"/>
            <w:vAlign w:val="center"/>
          </w:tcPr>
          <w:p w14:paraId="29FA045A">
            <w:pPr>
              <w:pStyle w:val="44"/>
              <w:spacing w:line="360" w:lineRule="auto"/>
              <w:jc w:val="center"/>
              <w:rPr>
                <w:rFonts w:ascii="仿宋_GB2312" w:hAnsi="Calibri" w:eastAsia="仿宋_GB2312"/>
                <w:kern w:val="2"/>
                <w:sz w:val="21"/>
                <w:szCs w:val="21"/>
              </w:rPr>
            </w:pPr>
          </w:p>
        </w:tc>
      </w:tr>
      <w:tr w14:paraId="12BF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B1DAA7C">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7</w:t>
            </w:r>
          </w:p>
        </w:tc>
        <w:tc>
          <w:tcPr>
            <w:tcW w:w="2554" w:type="dxa"/>
            <w:vAlign w:val="center"/>
          </w:tcPr>
          <w:p w14:paraId="4AD75572">
            <w:pPr>
              <w:pStyle w:val="44"/>
              <w:spacing w:line="300" w:lineRule="exact"/>
              <w:jc w:val="center"/>
              <w:rPr>
                <w:rFonts w:ascii="仿宋_GB2312" w:hAnsi="Calibri" w:eastAsia="仿宋_GB2312"/>
                <w:kern w:val="2"/>
                <w:sz w:val="21"/>
                <w:szCs w:val="21"/>
              </w:rPr>
            </w:pPr>
            <w:r>
              <w:rPr>
                <w:rFonts w:hint="eastAsia" w:ascii="仿宋_GB2312" w:hAnsi="Calibri" w:eastAsia="仿宋_GB2312"/>
                <w:kern w:val="2"/>
                <w:sz w:val="21"/>
                <w:szCs w:val="21"/>
              </w:rPr>
              <w:t>监督管理能力建设工程</w:t>
            </w:r>
          </w:p>
        </w:tc>
        <w:tc>
          <w:tcPr>
            <w:tcW w:w="8079" w:type="dxa"/>
            <w:vAlign w:val="center"/>
          </w:tcPr>
          <w:p w14:paraId="4EF646C2">
            <w:pPr>
              <w:pStyle w:val="44"/>
              <w:spacing w:line="300" w:lineRule="exact"/>
              <w:jc w:val="left"/>
              <w:rPr>
                <w:rFonts w:ascii="仿宋_GB2312" w:hAnsi="Calibri" w:eastAsia="仿宋_GB2312"/>
                <w:kern w:val="2"/>
                <w:sz w:val="21"/>
                <w:szCs w:val="21"/>
              </w:rPr>
            </w:pPr>
            <w:r>
              <w:rPr>
                <w:rFonts w:hint="eastAsia" w:ascii="仿宋_GB2312" w:hAnsi="Calibri" w:eastAsia="仿宋_GB2312"/>
                <w:kern w:val="2"/>
                <w:sz w:val="21"/>
                <w:szCs w:val="21"/>
              </w:rPr>
              <w:t>依托阳江市环境监测站。</w:t>
            </w:r>
          </w:p>
        </w:tc>
        <w:tc>
          <w:tcPr>
            <w:tcW w:w="1276" w:type="dxa"/>
            <w:vAlign w:val="center"/>
          </w:tcPr>
          <w:p w14:paraId="49A87EFA">
            <w:pPr>
              <w:pStyle w:val="44"/>
              <w:spacing w:line="360" w:lineRule="auto"/>
              <w:jc w:val="center"/>
              <w:rPr>
                <w:rFonts w:ascii="仿宋_GB2312" w:hAnsi="Calibri" w:eastAsia="仿宋_GB2312"/>
                <w:kern w:val="2"/>
                <w:sz w:val="21"/>
                <w:szCs w:val="21"/>
              </w:rPr>
            </w:pPr>
            <w:r>
              <w:rPr>
                <w:rFonts w:hint="eastAsia" w:ascii="仿宋_GB2312" w:hAnsi="Calibri" w:eastAsia="仿宋_GB2312"/>
                <w:kern w:val="2"/>
                <w:sz w:val="21"/>
                <w:szCs w:val="21"/>
              </w:rPr>
              <w:t>2020年</w:t>
            </w:r>
          </w:p>
        </w:tc>
        <w:tc>
          <w:tcPr>
            <w:tcW w:w="1449" w:type="dxa"/>
            <w:vMerge w:val="continue"/>
            <w:vAlign w:val="center"/>
          </w:tcPr>
          <w:p w14:paraId="40DEA78D">
            <w:pPr>
              <w:pStyle w:val="44"/>
              <w:spacing w:line="360" w:lineRule="auto"/>
              <w:jc w:val="center"/>
              <w:rPr>
                <w:rFonts w:ascii="仿宋_GB2312" w:hAnsi="Calibri" w:eastAsia="仿宋_GB2312"/>
                <w:kern w:val="2"/>
                <w:sz w:val="21"/>
                <w:szCs w:val="21"/>
              </w:rPr>
            </w:pPr>
          </w:p>
        </w:tc>
      </w:tr>
    </w:tbl>
    <w:p w14:paraId="78FEA254">
      <w:pPr>
        <w:pStyle w:val="61"/>
        <w:spacing w:before="312" w:afterLines="0"/>
        <w:rPr>
          <w:rFonts w:ascii="仿宋_GB2312"/>
        </w:rPr>
      </w:pPr>
    </w:p>
    <w:p w14:paraId="5AB97D28">
      <w:pPr>
        <w:pStyle w:val="61"/>
        <w:spacing w:before="312" w:afterLines="0"/>
        <w:rPr>
          <w:rFonts w:ascii="仿宋_GB2312"/>
        </w:rPr>
      </w:pPr>
      <w:r>
        <w:rPr>
          <w:rFonts w:hint="eastAsia" w:ascii="仿宋_GB2312"/>
        </w:rPr>
        <w:t>附表10重点专项任务完成计划</w:t>
      </w:r>
    </w:p>
    <w:tbl>
      <w:tblPr>
        <w:tblStyle w:val="3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954"/>
        <w:gridCol w:w="2409"/>
        <w:gridCol w:w="3402"/>
        <w:gridCol w:w="1592"/>
      </w:tblGrid>
      <w:tr w14:paraId="4CE0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16E6249">
            <w:pPr>
              <w:pStyle w:val="61"/>
              <w:spacing w:beforeLines="0" w:afterLines="0" w:line="400" w:lineRule="exact"/>
              <w:rPr>
                <w:rFonts w:ascii="仿宋_GB2312" w:hAnsi="Times New Roman"/>
                <w:kern w:val="0"/>
                <w:sz w:val="21"/>
                <w:szCs w:val="21"/>
              </w:rPr>
            </w:pPr>
            <w:r>
              <w:rPr>
                <w:rFonts w:hint="eastAsia" w:ascii="仿宋_GB2312" w:hAnsi="Times New Roman"/>
                <w:kern w:val="0"/>
                <w:sz w:val="21"/>
                <w:szCs w:val="21"/>
              </w:rPr>
              <w:t>序号</w:t>
            </w:r>
          </w:p>
        </w:tc>
        <w:tc>
          <w:tcPr>
            <w:tcW w:w="5954" w:type="dxa"/>
          </w:tcPr>
          <w:p w14:paraId="659CFAF0">
            <w:pPr>
              <w:pStyle w:val="61"/>
              <w:spacing w:beforeLines="0" w:afterLines="0" w:line="400" w:lineRule="exact"/>
              <w:rPr>
                <w:rFonts w:ascii="仿宋_GB2312" w:hAnsi="Times New Roman"/>
                <w:kern w:val="0"/>
                <w:sz w:val="21"/>
                <w:szCs w:val="21"/>
              </w:rPr>
            </w:pPr>
            <w:r>
              <w:rPr>
                <w:rFonts w:hint="eastAsia" w:ascii="仿宋_GB2312" w:hAnsi="Times New Roman"/>
                <w:kern w:val="0"/>
                <w:sz w:val="21"/>
                <w:szCs w:val="21"/>
              </w:rPr>
              <w:t>专项方案名称</w:t>
            </w:r>
          </w:p>
        </w:tc>
        <w:tc>
          <w:tcPr>
            <w:tcW w:w="2409" w:type="dxa"/>
          </w:tcPr>
          <w:p w14:paraId="1BE3B6D6">
            <w:pPr>
              <w:pStyle w:val="61"/>
              <w:spacing w:beforeLines="0" w:afterLines="0" w:line="400" w:lineRule="exact"/>
              <w:rPr>
                <w:rFonts w:ascii="仿宋_GB2312" w:hAnsi="Times New Roman"/>
                <w:kern w:val="0"/>
                <w:sz w:val="21"/>
                <w:szCs w:val="21"/>
              </w:rPr>
            </w:pPr>
            <w:r>
              <w:rPr>
                <w:rFonts w:hint="eastAsia" w:ascii="仿宋_GB2312" w:hAnsi="Times New Roman"/>
                <w:kern w:val="0"/>
                <w:sz w:val="21"/>
                <w:szCs w:val="21"/>
              </w:rPr>
              <w:t>牵头部门</w:t>
            </w:r>
          </w:p>
        </w:tc>
        <w:tc>
          <w:tcPr>
            <w:tcW w:w="3402" w:type="dxa"/>
          </w:tcPr>
          <w:p w14:paraId="5CC71512">
            <w:pPr>
              <w:pStyle w:val="61"/>
              <w:spacing w:beforeLines="0" w:afterLines="0" w:line="400" w:lineRule="exact"/>
              <w:rPr>
                <w:rFonts w:ascii="仿宋_GB2312" w:hAnsi="Times New Roman"/>
                <w:kern w:val="0"/>
                <w:sz w:val="21"/>
                <w:szCs w:val="21"/>
              </w:rPr>
            </w:pPr>
            <w:r>
              <w:rPr>
                <w:rFonts w:hint="eastAsia" w:ascii="仿宋_GB2312" w:hAnsi="Times New Roman"/>
                <w:kern w:val="0"/>
                <w:sz w:val="21"/>
                <w:szCs w:val="21"/>
              </w:rPr>
              <w:t>参与部门</w:t>
            </w:r>
          </w:p>
        </w:tc>
        <w:tc>
          <w:tcPr>
            <w:tcW w:w="1592" w:type="dxa"/>
          </w:tcPr>
          <w:p w14:paraId="0A5D5C5D">
            <w:pPr>
              <w:pStyle w:val="61"/>
              <w:spacing w:beforeLines="0" w:afterLines="0" w:line="400" w:lineRule="exact"/>
              <w:rPr>
                <w:rFonts w:ascii="仿宋_GB2312" w:hAnsi="Times New Roman"/>
                <w:kern w:val="0"/>
                <w:sz w:val="21"/>
                <w:szCs w:val="21"/>
              </w:rPr>
            </w:pPr>
            <w:r>
              <w:rPr>
                <w:rFonts w:hint="eastAsia" w:ascii="仿宋_GB2312" w:hAnsi="Times New Roman"/>
                <w:kern w:val="0"/>
                <w:sz w:val="21"/>
                <w:szCs w:val="21"/>
              </w:rPr>
              <w:t>完成期限</w:t>
            </w:r>
          </w:p>
        </w:tc>
      </w:tr>
      <w:tr w14:paraId="3733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0BB8F01">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1</w:t>
            </w:r>
          </w:p>
        </w:tc>
        <w:tc>
          <w:tcPr>
            <w:tcW w:w="5954" w:type="dxa"/>
            <w:vAlign w:val="center"/>
          </w:tcPr>
          <w:p w14:paraId="5883024D">
            <w:pPr>
              <w:pStyle w:val="61"/>
              <w:spacing w:beforeLines="0" w:afterLines="0" w:line="400" w:lineRule="exact"/>
              <w:jc w:val="left"/>
              <w:rPr>
                <w:rFonts w:ascii="仿宋_GB2312" w:hAnsi="Times New Roman"/>
                <w:b w:val="0"/>
                <w:kern w:val="0"/>
                <w:sz w:val="21"/>
                <w:szCs w:val="21"/>
              </w:rPr>
            </w:pPr>
            <w:r>
              <w:rPr>
                <w:rFonts w:hint="eastAsia" w:ascii="仿宋_GB2312" w:hAnsi="Times New Roman"/>
                <w:b w:val="0"/>
                <w:kern w:val="0"/>
                <w:sz w:val="21"/>
                <w:szCs w:val="21"/>
              </w:rPr>
              <w:t>阳江高新区“十大”重点行业专项治理（清洁化改造）方案</w:t>
            </w:r>
          </w:p>
        </w:tc>
        <w:tc>
          <w:tcPr>
            <w:tcW w:w="2409" w:type="dxa"/>
            <w:vAlign w:val="center"/>
          </w:tcPr>
          <w:p w14:paraId="35995CF6">
            <w:pPr>
              <w:spacing w:line="300" w:lineRule="exact"/>
              <w:jc w:val="center"/>
              <w:rPr>
                <w:rFonts w:ascii="仿宋_GB2312" w:eastAsia="仿宋_GB2312"/>
                <w:szCs w:val="21"/>
              </w:rPr>
            </w:pPr>
            <w:r>
              <w:rPr>
                <w:rFonts w:hint="eastAsia" w:ascii="仿宋_GB2312" w:eastAsia="仿宋_GB2312"/>
                <w:szCs w:val="21"/>
              </w:rPr>
              <w:t>市环保局高新分局</w:t>
            </w:r>
          </w:p>
        </w:tc>
        <w:tc>
          <w:tcPr>
            <w:tcW w:w="3402" w:type="dxa"/>
            <w:vAlign w:val="center"/>
          </w:tcPr>
          <w:p w14:paraId="1AB607E3">
            <w:pPr>
              <w:spacing w:line="300" w:lineRule="exact"/>
              <w:jc w:val="center"/>
              <w:rPr>
                <w:rFonts w:ascii="仿宋_GB2312" w:eastAsia="仿宋_GB2312"/>
                <w:szCs w:val="21"/>
              </w:rPr>
            </w:pPr>
            <w:r>
              <w:rPr>
                <w:rFonts w:hint="eastAsia" w:ascii="仿宋_GB2312" w:eastAsia="仿宋_GB2312"/>
                <w:szCs w:val="21"/>
              </w:rPr>
              <w:t>区经发局</w:t>
            </w:r>
          </w:p>
        </w:tc>
        <w:tc>
          <w:tcPr>
            <w:tcW w:w="1592" w:type="dxa"/>
            <w:vAlign w:val="center"/>
          </w:tcPr>
          <w:p w14:paraId="7A0544F3">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2016年底</w:t>
            </w:r>
          </w:p>
        </w:tc>
      </w:tr>
      <w:tr w14:paraId="57D4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4BF418D">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2</w:t>
            </w:r>
          </w:p>
        </w:tc>
        <w:tc>
          <w:tcPr>
            <w:tcW w:w="5954" w:type="dxa"/>
            <w:vAlign w:val="center"/>
          </w:tcPr>
          <w:p w14:paraId="3576716A">
            <w:pPr>
              <w:pStyle w:val="61"/>
              <w:spacing w:beforeLines="0" w:afterLines="0" w:line="400" w:lineRule="exact"/>
              <w:jc w:val="left"/>
              <w:rPr>
                <w:rFonts w:ascii="仿宋_GB2312" w:hAnsi="Times New Roman"/>
                <w:b w:val="0"/>
                <w:kern w:val="0"/>
                <w:sz w:val="21"/>
                <w:szCs w:val="21"/>
              </w:rPr>
            </w:pPr>
            <w:r>
              <w:rPr>
                <w:rFonts w:hint="eastAsia" w:ascii="仿宋_GB2312" w:hAnsi="Times New Roman"/>
                <w:b w:val="0"/>
                <w:kern w:val="0"/>
                <w:sz w:val="21"/>
                <w:szCs w:val="21"/>
              </w:rPr>
              <w:t>阳江高新区近岸海域污染防治方案</w:t>
            </w:r>
          </w:p>
        </w:tc>
        <w:tc>
          <w:tcPr>
            <w:tcW w:w="2409" w:type="dxa"/>
            <w:vAlign w:val="center"/>
          </w:tcPr>
          <w:p w14:paraId="093C9921">
            <w:pPr>
              <w:spacing w:line="300" w:lineRule="exact"/>
              <w:jc w:val="center"/>
              <w:rPr>
                <w:rFonts w:ascii="仿宋_GB2312" w:eastAsia="仿宋_GB2312"/>
                <w:szCs w:val="21"/>
              </w:rPr>
            </w:pPr>
            <w:r>
              <w:rPr>
                <w:rFonts w:hint="eastAsia" w:ascii="仿宋_GB2312" w:eastAsia="仿宋_GB2312"/>
                <w:szCs w:val="21"/>
              </w:rPr>
              <w:t>市环保局高新分局、区农村事务局</w:t>
            </w:r>
          </w:p>
        </w:tc>
        <w:tc>
          <w:tcPr>
            <w:tcW w:w="3402" w:type="dxa"/>
            <w:vAlign w:val="center"/>
          </w:tcPr>
          <w:p w14:paraId="4F6F691D">
            <w:pPr>
              <w:spacing w:line="300" w:lineRule="exact"/>
              <w:jc w:val="center"/>
              <w:rPr>
                <w:rFonts w:ascii="仿宋_GB2312" w:eastAsia="仿宋_GB2312"/>
                <w:szCs w:val="21"/>
              </w:rPr>
            </w:pPr>
            <w:r>
              <w:rPr>
                <w:rFonts w:hint="eastAsia" w:ascii="仿宋_GB2312" w:eastAsia="仿宋_GB2312"/>
                <w:szCs w:val="21"/>
              </w:rPr>
              <w:t>区经发局、区规建局</w:t>
            </w:r>
          </w:p>
        </w:tc>
        <w:tc>
          <w:tcPr>
            <w:tcW w:w="1592" w:type="dxa"/>
            <w:vAlign w:val="center"/>
          </w:tcPr>
          <w:p w14:paraId="699DD69F">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2016年底</w:t>
            </w:r>
          </w:p>
        </w:tc>
      </w:tr>
      <w:tr w14:paraId="72AE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DED698A">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3</w:t>
            </w:r>
          </w:p>
        </w:tc>
        <w:tc>
          <w:tcPr>
            <w:tcW w:w="5954" w:type="dxa"/>
            <w:vAlign w:val="center"/>
          </w:tcPr>
          <w:p w14:paraId="38D4C86B">
            <w:pPr>
              <w:pStyle w:val="61"/>
              <w:spacing w:beforeLines="0" w:afterLines="0" w:line="400" w:lineRule="exact"/>
              <w:jc w:val="left"/>
              <w:rPr>
                <w:rFonts w:ascii="仿宋_GB2312" w:hAnsi="Times New Roman"/>
                <w:b w:val="0"/>
                <w:kern w:val="0"/>
                <w:sz w:val="21"/>
                <w:szCs w:val="21"/>
              </w:rPr>
            </w:pPr>
            <w:r>
              <w:rPr>
                <w:rFonts w:hint="eastAsia" w:ascii="仿宋_GB2312" w:hAnsi="Times New Roman"/>
                <w:b w:val="0"/>
                <w:kern w:val="0"/>
                <w:sz w:val="21"/>
                <w:szCs w:val="21"/>
              </w:rPr>
              <w:t>阳江高新区城镇污水处理设施建设与改造计划</w:t>
            </w:r>
          </w:p>
        </w:tc>
        <w:tc>
          <w:tcPr>
            <w:tcW w:w="2409" w:type="dxa"/>
            <w:vAlign w:val="center"/>
          </w:tcPr>
          <w:p w14:paraId="4A31E888">
            <w:pPr>
              <w:spacing w:line="300" w:lineRule="exact"/>
              <w:jc w:val="center"/>
              <w:rPr>
                <w:rFonts w:ascii="仿宋_GB2312" w:eastAsia="仿宋_GB2312"/>
                <w:szCs w:val="21"/>
              </w:rPr>
            </w:pPr>
            <w:r>
              <w:rPr>
                <w:rFonts w:hint="eastAsia" w:ascii="仿宋_GB2312" w:eastAsia="仿宋_GB2312"/>
                <w:szCs w:val="21"/>
              </w:rPr>
              <w:t>区规划建设和交通局</w:t>
            </w:r>
          </w:p>
        </w:tc>
        <w:tc>
          <w:tcPr>
            <w:tcW w:w="3402" w:type="dxa"/>
            <w:vAlign w:val="center"/>
          </w:tcPr>
          <w:p w14:paraId="7D4A4C58">
            <w:pPr>
              <w:spacing w:line="300" w:lineRule="exact"/>
              <w:jc w:val="center"/>
              <w:rPr>
                <w:rFonts w:ascii="仿宋_GB2312" w:eastAsia="仿宋_GB2312"/>
                <w:szCs w:val="21"/>
              </w:rPr>
            </w:pPr>
            <w:r>
              <w:rPr>
                <w:rFonts w:hint="eastAsia" w:ascii="仿宋_GB2312" w:eastAsia="仿宋_GB2312"/>
                <w:szCs w:val="21"/>
              </w:rPr>
              <w:t>市环保局高新分局、区经发局</w:t>
            </w:r>
          </w:p>
        </w:tc>
        <w:tc>
          <w:tcPr>
            <w:tcW w:w="1592" w:type="dxa"/>
            <w:vAlign w:val="center"/>
          </w:tcPr>
          <w:p w14:paraId="782BF006">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2016年底</w:t>
            </w:r>
          </w:p>
        </w:tc>
      </w:tr>
      <w:tr w14:paraId="50F2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E0C78EC">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4</w:t>
            </w:r>
          </w:p>
        </w:tc>
        <w:tc>
          <w:tcPr>
            <w:tcW w:w="5954" w:type="dxa"/>
            <w:vAlign w:val="center"/>
          </w:tcPr>
          <w:p w14:paraId="24DC9824">
            <w:pPr>
              <w:pStyle w:val="61"/>
              <w:spacing w:beforeLines="0" w:afterLines="0" w:line="400" w:lineRule="exact"/>
              <w:jc w:val="left"/>
              <w:rPr>
                <w:rFonts w:ascii="仿宋_GB2312" w:hAnsi="Times New Roman"/>
                <w:b w:val="0"/>
                <w:kern w:val="0"/>
                <w:sz w:val="21"/>
                <w:szCs w:val="21"/>
              </w:rPr>
            </w:pPr>
            <w:r>
              <w:rPr>
                <w:rFonts w:hint="eastAsia" w:ascii="仿宋_GB2312" w:hAnsi="Times New Roman"/>
                <w:b w:val="0"/>
                <w:kern w:val="0"/>
                <w:sz w:val="21"/>
                <w:szCs w:val="21"/>
              </w:rPr>
              <w:t>阳江高新区落后产能淘汰方案</w:t>
            </w:r>
          </w:p>
        </w:tc>
        <w:tc>
          <w:tcPr>
            <w:tcW w:w="2409" w:type="dxa"/>
            <w:vAlign w:val="center"/>
          </w:tcPr>
          <w:p w14:paraId="3839E995">
            <w:pPr>
              <w:spacing w:line="300" w:lineRule="exact"/>
              <w:jc w:val="center"/>
              <w:rPr>
                <w:rFonts w:ascii="仿宋_GB2312" w:eastAsia="仿宋_GB2312"/>
                <w:szCs w:val="21"/>
              </w:rPr>
            </w:pPr>
            <w:r>
              <w:rPr>
                <w:rFonts w:hint="eastAsia" w:ascii="仿宋_GB2312" w:eastAsia="仿宋_GB2312"/>
                <w:szCs w:val="21"/>
              </w:rPr>
              <w:t>区经发局</w:t>
            </w:r>
          </w:p>
        </w:tc>
        <w:tc>
          <w:tcPr>
            <w:tcW w:w="3402" w:type="dxa"/>
            <w:vAlign w:val="center"/>
          </w:tcPr>
          <w:p w14:paraId="5044F428">
            <w:pPr>
              <w:spacing w:line="300" w:lineRule="exact"/>
              <w:jc w:val="center"/>
              <w:rPr>
                <w:rFonts w:ascii="仿宋_GB2312" w:eastAsia="仿宋_GB2312"/>
                <w:szCs w:val="21"/>
              </w:rPr>
            </w:pPr>
            <w:r>
              <w:rPr>
                <w:rFonts w:hint="eastAsia" w:ascii="仿宋_GB2312" w:eastAsia="仿宋_GB2312"/>
                <w:szCs w:val="21"/>
              </w:rPr>
              <w:t>市环保局高新分局</w:t>
            </w:r>
          </w:p>
        </w:tc>
        <w:tc>
          <w:tcPr>
            <w:tcW w:w="1592" w:type="dxa"/>
            <w:vAlign w:val="center"/>
          </w:tcPr>
          <w:p w14:paraId="6FAD960C">
            <w:pPr>
              <w:pStyle w:val="61"/>
              <w:spacing w:beforeLines="0" w:afterLines="0" w:line="400" w:lineRule="exact"/>
              <w:rPr>
                <w:rFonts w:ascii="仿宋_GB2312"/>
                <w:b w:val="0"/>
                <w:sz w:val="21"/>
                <w:szCs w:val="21"/>
              </w:rPr>
            </w:pPr>
            <w:r>
              <w:rPr>
                <w:rFonts w:hint="eastAsia" w:ascii="仿宋_GB2312"/>
                <w:b w:val="0"/>
                <w:sz w:val="21"/>
                <w:szCs w:val="21"/>
              </w:rPr>
              <w:t>2016年1月底</w:t>
            </w:r>
          </w:p>
        </w:tc>
      </w:tr>
      <w:tr w14:paraId="0AA7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FC1CA64">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5</w:t>
            </w:r>
          </w:p>
        </w:tc>
        <w:tc>
          <w:tcPr>
            <w:tcW w:w="5954" w:type="dxa"/>
            <w:vAlign w:val="center"/>
          </w:tcPr>
          <w:p w14:paraId="7BB04B2D">
            <w:pPr>
              <w:pStyle w:val="61"/>
              <w:spacing w:beforeLines="0" w:afterLines="0" w:line="400" w:lineRule="exact"/>
              <w:jc w:val="left"/>
              <w:rPr>
                <w:rFonts w:ascii="仿宋_GB2312" w:hAnsi="Times New Roman"/>
                <w:b w:val="0"/>
                <w:kern w:val="0"/>
                <w:sz w:val="21"/>
                <w:szCs w:val="21"/>
              </w:rPr>
            </w:pPr>
            <w:r>
              <w:rPr>
                <w:rFonts w:hint="eastAsia" w:ascii="仿宋_GB2312" w:hAnsi="Times New Roman"/>
                <w:b w:val="0"/>
                <w:kern w:val="0"/>
                <w:sz w:val="21"/>
                <w:szCs w:val="21"/>
              </w:rPr>
              <w:t>阳江高新区畜禽养殖与农业面源污染综合防治方案</w:t>
            </w:r>
          </w:p>
        </w:tc>
        <w:tc>
          <w:tcPr>
            <w:tcW w:w="2409" w:type="dxa"/>
            <w:vAlign w:val="center"/>
          </w:tcPr>
          <w:p w14:paraId="2E94B81A">
            <w:pPr>
              <w:pStyle w:val="61"/>
              <w:spacing w:beforeLines="0" w:afterLines="0" w:line="400" w:lineRule="exact"/>
              <w:rPr>
                <w:rFonts w:ascii="仿宋_GB2312"/>
                <w:b w:val="0"/>
                <w:sz w:val="21"/>
                <w:szCs w:val="21"/>
              </w:rPr>
            </w:pPr>
            <w:r>
              <w:rPr>
                <w:rFonts w:hint="eastAsia" w:ascii="仿宋_GB2312"/>
                <w:b w:val="0"/>
                <w:sz w:val="21"/>
                <w:szCs w:val="21"/>
              </w:rPr>
              <w:t>农村事务局</w:t>
            </w:r>
          </w:p>
        </w:tc>
        <w:tc>
          <w:tcPr>
            <w:tcW w:w="3402" w:type="dxa"/>
            <w:vAlign w:val="center"/>
          </w:tcPr>
          <w:p w14:paraId="02A75B14">
            <w:pPr>
              <w:spacing w:line="300" w:lineRule="exact"/>
              <w:jc w:val="center"/>
              <w:rPr>
                <w:rFonts w:ascii="仿宋_GB2312" w:eastAsia="仿宋_GB2312"/>
                <w:szCs w:val="21"/>
              </w:rPr>
            </w:pPr>
            <w:r>
              <w:rPr>
                <w:rFonts w:hint="eastAsia" w:ascii="仿宋_GB2312" w:eastAsia="仿宋_GB2312"/>
                <w:szCs w:val="21"/>
              </w:rPr>
              <w:t>市国土局高新区分局、市环保局高新分局、</w:t>
            </w:r>
            <w:r>
              <w:rPr>
                <w:rFonts w:hint="eastAsia" w:ascii="仿宋_GB2312" w:eastAsia="仿宋_GB2312"/>
                <w:szCs w:val="21"/>
                <w:lang w:eastAsia="zh-CN"/>
              </w:rPr>
              <w:t>区规划建设和交通局、</w:t>
            </w:r>
            <w:r>
              <w:rPr>
                <w:rFonts w:hint="eastAsia" w:ascii="仿宋_GB2312" w:eastAsia="仿宋_GB2312"/>
                <w:szCs w:val="21"/>
              </w:rPr>
              <w:t>区经发局、</w:t>
            </w:r>
          </w:p>
        </w:tc>
        <w:tc>
          <w:tcPr>
            <w:tcW w:w="1592" w:type="dxa"/>
            <w:vAlign w:val="center"/>
          </w:tcPr>
          <w:p w14:paraId="2B9865A6">
            <w:pPr>
              <w:pStyle w:val="61"/>
              <w:spacing w:beforeLines="0" w:afterLines="0" w:line="400" w:lineRule="exact"/>
              <w:rPr>
                <w:rFonts w:ascii="仿宋_GB2312"/>
                <w:b w:val="0"/>
                <w:sz w:val="21"/>
                <w:szCs w:val="21"/>
              </w:rPr>
            </w:pPr>
            <w:r>
              <w:rPr>
                <w:rFonts w:hint="eastAsia" w:ascii="仿宋_GB2312"/>
                <w:b w:val="0"/>
                <w:sz w:val="21"/>
                <w:szCs w:val="21"/>
              </w:rPr>
              <w:t>2016年6月底</w:t>
            </w:r>
          </w:p>
        </w:tc>
      </w:tr>
      <w:tr w14:paraId="3DC4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3ACA1F">
            <w:pPr>
              <w:pStyle w:val="61"/>
              <w:spacing w:beforeLines="0" w:afterLines="0" w:line="400" w:lineRule="exact"/>
              <w:rPr>
                <w:rFonts w:ascii="仿宋_GB2312" w:hAnsi="Times New Roman"/>
                <w:b w:val="0"/>
                <w:kern w:val="0"/>
                <w:sz w:val="21"/>
                <w:szCs w:val="21"/>
              </w:rPr>
            </w:pPr>
            <w:r>
              <w:rPr>
                <w:rFonts w:hint="eastAsia" w:ascii="仿宋_GB2312" w:hAnsi="Times New Roman"/>
                <w:b w:val="0"/>
                <w:kern w:val="0"/>
                <w:sz w:val="21"/>
                <w:szCs w:val="21"/>
              </w:rPr>
              <w:t>6</w:t>
            </w:r>
          </w:p>
        </w:tc>
        <w:tc>
          <w:tcPr>
            <w:tcW w:w="5954" w:type="dxa"/>
            <w:vAlign w:val="center"/>
          </w:tcPr>
          <w:p w14:paraId="38206393">
            <w:pPr>
              <w:pStyle w:val="61"/>
              <w:spacing w:beforeLines="0" w:afterLines="0" w:line="400" w:lineRule="exact"/>
              <w:jc w:val="left"/>
              <w:rPr>
                <w:rFonts w:hint="eastAsia" w:ascii="仿宋_GB2312" w:hAnsi="Times New Roman"/>
                <w:b w:val="0"/>
                <w:kern w:val="0"/>
                <w:sz w:val="21"/>
                <w:szCs w:val="21"/>
              </w:rPr>
            </w:pPr>
            <w:r>
              <w:rPr>
                <w:rFonts w:hint="eastAsia" w:ascii="仿宋_GB2312" w:hAnsi="Times New Roman"/>
                <w:b w:val="0"/>
                <w:kern w:val="0"/>
                <w:sz w:val="21"/>
                <w:szCs w:val="21"/>
              </w:rPr>
              <w:t>阳江高新区防治船舶及其有关作业活动污染环境应急规划预案</w:t>
            </w:r>
          </w:p>
          <w:p w14:paraId="24E1233C">
            <w:pPr>
              <w:pStyle w:val="61"/>
              <w:spacing w:beforeLines="0" w:afterLines="0" w:line="400" w:lineRule="exact"/>
              <w:jc w:val="left"/>
              <w:rPr>
                <w:rFonts w:ascii="仿宋_GB2312" w:hAnsi="Times New Roman"/>
                <w:b w:val="0"/>
                <w:kern w:val="0"/>
                <w:sz w:val="21"/>
                <w:szCs w:val="21"/>
                <w:highlight w:val="none"/>
              </w:rPr>
            </w:pPr>
            <w:r>
              <w:rPr>
                <w:rFonts w:hint="eastAsia" w:ascii="仿宋_GB2312" w:hAnsi="Times New Roman"/>
                <w:b w:val="0"/>
                <w:kern w:val="0"/>
                <w:sz w:val="21"/>
                <w:szCs w:val="21"/>
              </w:rPr>
              <w:t>（阳江市已制定该方案，是针对阳江港的，高新区</w:t>
            </w:r>
            <w:r>
              <w:rPr>
                <w:rFonts w:hint="eastAsia" w:ascii="仿宋_GB2312" w:hAnsi="Times New Roman"/>
                <w:b w:val="0"/>
                <w:kern w:val="0"/>
                <w:sz w:val="21"/>
                <w:szCs w:val="21"/>
                <w:lang w:eastAsia="zh-CN"/>
              </w:rPr>
              <w:t>按市制定方案执行</w:t>
            </w:r>
            <w:r>
              <w:rPr>
                <w:rFonts w:hint="eastAsia" w:ascii="仿宋_GB2312" w:hAnsi="Times New Roman"/>
                <w:b w:val="0"/>
                <w:kern w:val="0"/>
                <w:sz w:val="21"/>
                <w:szCs w:val="21"/>
              </w:rPr>
              <w:t>）</w:t>
            </w:r>
          </w:p>
        </w:tc>
        <w:tc>
          <w:tcPr>
            <w:tcW w:w="2409" w:type="dxa"/>
            <w:vAlign w:val="center"/>
          </w:tcPr>
          <w:p w14:paraId="00C0F8D3">
            <w:pPr>
              <w:spacing w:line="300" w:lineRule="exact"/>
              <w:jc w:val="center"/>
              <w:rPr>
                <w:rFonts w:ascii="仿宋_GB2312" w:eastAsia="仿宋_GB2312"/>
                <w:szCs w:val="21"/>
              </w:rPr>
            </w:pPr>
            <w:r>
              <w:rPr>
                <w:rFonts w:hint="eastAsia" w:ascii="仿宋_GB2312" w:eastAsia="仿宋_GB2312"/>
                <w:szCs w:val="21"/>
              </w:rPr>
              <w:t>市环保局高新分局</w:t>
            </w:r>
          </w:p>
        </w:tc>
        <w:tc>
          <w:tcPr>
            <w:tcW w:w="3402" w:type="dxa"/>
            <w:vAlign w:val="center"/>
          </w:tcPr>
          <w:p w14:paraId="614A7780">
            <w:pPr>
              <w:pStyle w:val="61"/>
              <w:spacing w:beforeLines="0" w:afterLines="0" w:line="400" w:lineRule="exact"/>
              <w:rPr>
                <w:rFonts w:ascii="仿宋_GB2312"/>
                <w:b w:val="0"/>
                <w:sz w:val="21"/>
                <w:szCs w:val="21"/>
              </w:rPr>
            </w:pPr>
            <w:r>
              <w:rPr>
                <w:rFonts w:hint="eastAsia" w:ascii="仿宋_GB2312"/>
                <w:b w:val="0"/>
                <w:sz w:val="21"/>
                <w:szCs w:val="21"/>
              </w:rPr>
              <w:t>农村事务局</w:t>
            </w:r>
          </w:p>
        </w:tc>
        <w:tc>
          <w:tcPr>
            <w:tcW w:w="1592" w:type="dxa"/>
            <w:vAlign w:val="center"/>
          </w:tcPr>
          <w:p w14:paraId="4B1B017C">
            <w:pPr>
              <w:pStyle w:val="61"/>
              <w:spacing w:beforeLines="0" w:afterLines="0" w:line="400" w:lineRule="exact"/>
              <w:rPr>
                <w:rFonts w:ascii="仿宋_GB2312"/>
                <w:b w:val="0"/>
                <w:sz w:val="21"/>
                <w:szCs w:val="21"/>
              </w:rPr>
            </w:pPr>
            <w:r>
              <w:rPr>
                <w:rFonts w:hint="eastAsia" w:ascii="仿宋_GB2312"/>
                <w:b w:val="0"/>
                <w:sz w:val="21"/>
                <w:szCs w:val="21"/>
              </w:rPr>
              <w:t>2016年底</w:t>
            </w:r>
          </w:p>
        </w:tc>
      </w:tr>
    </w:tbl>
    <w:p w14:paraId="61910E70">
      <w:pPr>
        <w:pStyle w:val="61"/>
        <w:spacing w:before="312" w:after="312"/>
        <w:jc w:val="both"/>
        <w:rPr>
          <w:rFonts w:ascii="仿宋_GB2312"/>
          <w:b w:val="0"/>
        </w:rPr>
      </w:pPr>
    </w:p>
    <w:sectPr>
      <w:footerReference r:id="rId6"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小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方正仿宋简体">
    <w:altName w:val="微软雅黑"/>
    <w:panose1 w:val="03000509000000000000"/>
    <w:charset w:val="86"/>
    <w:family w:val="script"/>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20CD7">
    <w:pPr>
      <w:pStyle w:val="23"/>
      <w:jc w:val="center"/>
    </w:pPr>
  </w:p>
  <w:p w14:paraId="16E39E1A">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61845">
    <w:pPr>
      <w:pStyle w:val="23"/>
      <w:jc w:val="center"/>
    </w:pPr>
    <w:r>
      <w:fldChar w:fldCharType="begin"/>
    </w:r>
    <w:r>
      <w:instrText xml:space="preserve"> PAGE   \* MERGEFORMAT </w:instrText>
    </w:r>
    <w:r>
      <w:fldChar w:fldCharType="separate"/>
    </w:r>
    <w:r>
      <w:rPr>
        <w:lang w:val="zh-CN"/>
      </w:rPr>
      <w:t>I</w:t>
    </w:r>
    <w:r>
      <w:rPr>
        <w:lang w:val="zh-CN"/>
      </w:rPr>
      <w:fldChar w:fldCharType="end"/>
    </w:r>
  </w:p>
  <w:p w14:paraId="5BA7CCDD">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F0F2C">
    <w:pPr>
      <w:pStyle w:val="23"/>
      <w:jc w:val="center"/>
    </w:pPr>
    <w:r>
      <w:fldChar w:fldCharType="begin"/>
    </w:r>
    <w:r>
      <w:instrText xml:space="preserve"> PAGE   \* MERGEFORMAT </w:instrText>
    </w:r>
    <w:r>
      <w:fldChar w:fldCharType="separate"/>
    </w:r>
    <w:r>
      <w:rPr>
        <w:lang w:val="zh-CN"/>
      </w:rPr>
      <w:t>33</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7D95E">
    <w:pPr>
      <w:pStyle w:val="23"/>
      <w:jc w:val="center"/>
    </w:pPr>
    <w:r>
      <w:fldChar w:fldCharType="begin"/>
    </w:r>
    <w:r>
      <w:instrText xml:space="preserve"> PAGE   \* MERGEFORMAT </w:instrText>
    </w:r>
    <w:r>
      <w:fldChar w:fldCharType="separate"/>
    </w:r>
    <w:r>
      <w:rPr>
        <w:lang w:val="zh-CN"/>
      </w:rPr>
      <w:t>39</w:t>
    </w:r>
    <w:r>
      <w:rPr>
        <w:lang w:val="zh-CN"/>
      </w:rPr>
      <w:fldChar w:fldCharType="end"/>
    </w:r>
  </w:p>
  <w:p w14:paraId="16795FDF">
    <w:pPr>
      <w:pStyle w:val="23"/>
      <w:tabs>
        <w:tab w:val="left" w:pos="5655"/>
      </w:tabs>
      <w:rPr>
        <w:rFonts w:ascii="仿宋" w:hAnsi="仿宋" w:eastAsia="仿宋"/>
        <w:b/>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OWM3MDVhODM1NWQ4YmEwN2IzYTM5NmY5N2RhYWEifQ=="/>
    <w:docVar w:name="KSO_WPS_MARK_KEY" w:val="4b5d866f-35cf-456b-94b4-81f5ecedafb2"/>
  </w:docVars>
  <w:rsids>
    <w:rsidRoot w:val="00826E39"/>
    <w:rsid w:val="00000978"/>
    <w:rsid w:val="0001170B"/>
    <w:rsid w:val="00014569"/>
    <w:rsid w:val="00015BBF"/>
    <w:rsid w:val="00015D50"/>
    <w:rsid w:val="00017208"/>
    <w:rsid w:val="000179ED"/>
    <w:rsid w:val="0002253E"/>
    <w:rsid w:val="000228A3"/>
    <w:rsid w:val="000251F1"/>
    <w:rsid w:val="000254BD"/>
    <w:rsid w:val="00027107"/>
    <w:rsid w:val="00030434"/>
    <w:rsid w:val="0003458D"/>
    <w:rsid w:val="00035460"/>
    <w:rsid w:val="00035E14"/>
    <w:rsid w:val="000367D4"/>
    <w:rsid w:val="00040B9C"/>
    <w:rsid w:val="000435AD"/>
    <w:rsid w:val="00043BB5"/>
    <w:rsid w:val="000443C7"/>
    <w:rsid w:val="00045FFC"/>
    <w:rsid w:val="00047741"/>
    <w:rsid w:val="00050B94"/>
    <w:rsid w:val="00052627"/>
    <w:rsid w:val="000540AC"/>
    <w:rsid w:val="0005633C"/>
    <w:rsid w:val="00060FCB"/>
    <w:rsid w:val="00062FD1"/>
    <w:rsid w:val="00063E1D"/>
    <w:rsid w:val="000649B8"/>
    <w:rsid w:val="00071EF0"/>
    <w:rsid w:val="000720B6"/>
    <w:rsid w:val="00072A3D"/>
    <w:rsid w:val="0007409C"/>
    <w:rsid w:val="00080F0A"/>
    <w:rsid w:val="0008104B"/>
    <w:rsid w:val="00081DD3"/>
    <w:rsid w:val="00090367"/>
    <w:rsid w:val="000903A1"/>
    <w:rsid w:val="000907F1"/>
    <w:rsid w:val="0009516B"/>
    <w:rsid w:val="000969CF"/>
    <w:rsid w:val="00097F4D"/>
    <w:rsid w:val="000A2AEC"/>
    <w:rsid w:val="000A2F72"/>
    <w:rsid w:val="000A51AA"/>
    <w:rsid w:val="000B0B36"/>
    <w:rsid w:val="000B5840"/>
    <w:rsid w:val="000C1F3B"/>
    <w:rsid w:val="000C274C"/>
    <w:rsid w:val="000C2B1B"/>
    <w:rsid w:val="000C4341"/>
    <w:rsid w:val="000C6125"/>
    <w:rsid w:val="000D29A9"/>
    <w:rsid w:val="000E0146"/>
    <w:rsid w:val="000E6356"/>
    <w:rsid w:val="000F1B26"/>
    <w:rsid w:val="000F1D8A"/>
    <w:rsid w:val="000F6C3C"/>
    <w:rsid w:val="000F6EE1"/>
    <w:rsid w:val="00100737"/>
    <w:rsid w:val="001022B4"/>
    <w:rsid w:val="001057C9"/>
    <w:rsid w:val="00106A4D"/>
    <w:rsid w:val="001075D1"/>
    <w:rsid w:val="00110C0E"/>
    <w:rsid w:val="00116483"/>
    <w:rsid w:val="001202BE"/>
    <w:rsid w:val="00124467"/>
    <w:rsid w:val="00126288"/>
    <w:rsid w:val="00133310"/>
    <w:rsid w:val="00134F1D"/>
    <w:rsid w:val="00137324"/>
    <w:rsid w:val="001378DD"/>
    <w:rsid w:val="00145026"/>
    <w:rsid w:val="0014773A"/>
    <w:rsid w:val="001477DF"/>
    <w:rsid w:val="00150B2B"/>
    <w:rsid w:val="001555B6"/>
    <w:rsid w:val="00157DD3"/>
    <w:rsid w:val="001628EA"/>
    <w:rsid w:val="00163AAA"/>
    <w:rsid w:val="00167B88"/>
    <w:rsid w:val="0017331F"/>
    <w:rsid w:val="00174024"/>
    <w:rsid w:val="001778F6"/>
    <w:rsid w:val="00180B7F"/>
    <w:rsid w:val="001812FE"/>
    <w:rsid w:val="00183395"/>
    <w:rsid w:val="00187D3B"/>
    <w:rsid w:val="00194034"/>
    <w:rsid w:val="00196DE9"/>
    <w:rsid w:val="001A09BE"/>
    <w:rsid w:val="001A38C1"/>
    <w:rsid w:val="001A39DE"/>
    <w:rsid w:val="001A46C5"/>
    <w:rsid w:val="001A4911"/>
    <w:rsid w:val="001B6F80"/>
    <w:rsid w:val="001C3ABC"/>
    <w:rsid w:val="001C43B4"/>
    <w:rsid w:val="001C5EDC"/>
    <w:rsid w:val="001D0CAA"/>
    <w:rsid w:val="001D1672"/>
    <w:rsid w:val="001D1844"/>
    <w:rsid w:val="001D681A"/>
    <w:rsid w:val="001E388D"/>
    <w:rsid w:val="001E40FC"/>
    <w:rsid w:val="001E4D6D"/>
    <w:rsid w:val="001E5CAE"/>
    <w:rsid w:val="001F0198"/>
    <w:rsid w:val="00201ECB"/>
    <w:rsid w:val="00203460"/>
    <w:rsid w:val="0021202C"/>
    <w:rsid w:val="00215767"/>
    <w:rsid w:val="0022219F"/>
    <w:rsid w:val="0022239B"/>
    <w:rsid w:val="00222F21"/>
    <w:rsid w:val="002231D4"/>
    <w:rsid w:val="00226BC6"/>
    <w:rsid w:val="00230037"/>
    <w:rsid w:val="00230100"/>
    <w:rsid w:val="00232835"/>
    <w:rsid w:val="00232907"/>
    <w:rsid w:val="00232BFC"/>
    <w:rsid w:val="00237613"/>
    <w:rsid w:val="00250700"/>
    <w:rsid w:val="002534BB"/>
    <w:rsid w:val="002534FF"/>
    <w:rsid w:val="00256DB6"/>
    <w:rsid w:val="002613EF"/>
    <w:rsid w:val="00263171"/>
    <w:rsid w:val="00267B30"/>
    <w:rsid w:val="0027514B"/>
    <w:rsid w:val="00282737"/>
    <w:rsid w:val="00285B0F"/>
    <w:rsid w:val="00291F99"/>
    <w:rsid w:val="0029466E"/>
    <w:rsid w:val="00295D22"/>
    <w:rsid w:val="00297DFC"/>
    <w:rsid w:val="002A1B2F"/>
    <w:rsid w:val="002B052A"/>
    <w:rsid w:val="002B13F2"/>
    <w:rsid w:val="002B1EF9"/>
    <w:rsid w:val="002B6D01"/>
    <w:rsid w:val="002C43A8"/>
    <w:rsid w:val="002C47EF"/>
    <w:rsid w:val="002C6E35"/>
    <w:rsid w:val="002D0058"/>
    <w:rsid w:val="002D006F"/>
    <w:rsid w:val="002D505B"/>
    <w:rsid w:val="002E5B74"/>
    <w:rsid w:val="002E5D92"/>
    <w:rsid w:val="002F1BDF"/>
    <w:rsid w:val="002F2771"/>
    <w:rsid w:val="002F58C8"/>
    <w:rsid w:val="002F63BD"/>
    <w:rsid w:val="002F6B4E"/>
    <w:rsid w:val="002F79B1"/>
    <w:rsid w:val="00302DC4"/>
    <w:rsid w:val="00311E31"/>
    <w:rsid w:val="00317B7E"/>
    <w:rsid w:val="00321D43"/>
    <w:rsid w:val="00332549"/>
    <w:rsid w:val="00334783"/>
    <w:rsid w:val="003348C7"/>
    <w:rsid w:val="00345FEA"/>
    <w:rsid w:val="00346224"/>
    <w:rsid w:val="003469B6"/>
    <w:rsid w:val="00352D8E"/>
    <w:rsid w:val="00353B69"/>
    <w:rsid w:val="0035495A"/>
    <w:rsid w:val="00355D2C"/>
    <w:rsid w:val="00360670"/>
    <w:rsid w:val="00363C21"/>
    <w:rsid w:val="00366CFF"/>
    <w:rsid w:val="003725D2"/>
    <w:rsid w:val="00381F3D"/>
    <w:rsid w:val="00385343"/>
    <w:rsid w:val="00386EEC"/>
    <w:rsid w:val="00391712"/>
    <w:rsid w:val="00394ED1"/>
    <w:rsid w:val="003A2B9C"/>
    <w:rsid w:val="003A33BB"/>
    <w:rsid w:val="003A3651"/>
    <w:rsid w:val="003A4105"/>
    <w:rsid w:val="003A4447"/>
    <w:rsid w:val="003A5683"/>
    <w:rsid w:val="003B0BA6"/>
    <w:rsid w:val="003B2669"/>
    <w:rsid w:val="003B4CBE"/>
    <w:rsid w:val="003B573D"/>
    <w:rsid w:val="003B5EE3"/>
    <w:rsid w:val="003C79ED"/>
    <w:rsid w:val="003D08A2"/>
    <w:rsid w:val="003D1346"/>
    <w:rsid w:val="003D15A9"/>
    <w:rsid w:val="003D23A1"/>
    <w:rsid w:val="003D5612"/>
    <w:rsid w:val="003D720F"/>
    <w:rsid w:val="003D74DB"/>
    <w:rsid w:val="003E25B8"/>
    <w:rsid w:val="003E6A3A"/>
    <w:rsid w:val="003E7244"/>
    <w:rsid w:val="003F00C1"/>
    <w:rsid w:val="003F11C8"/>
    <w:rsid w:val="003F1C90"/>
    <w:rsid w:val="003F20D3"/>
    <w:rsid w:val="003F4F50"/>
    <w:rsid w:val="004116C9"/>
    <w:rsid w:val="004179A7"/>
    <w:rsid w:val="004209B8"/>
    <w:rsid w:val="004216A2"/>
    <w:rsid w:val="00421E87"/>
    <w:rsid w:val="0042327E"/>
    <w:rsid w:val="0042731A"/>
    <w:rsid w:val="00433C03"/>
    <w:rsid w:val="004340E3"/>
    <w:rsid w:val="0043778C"/>
    <w:rsid w:val="004407BA"/>
    <w:rsid w:val="004418DF"/>
    <w:rsid w:val="00441E50"/>
    <w:rsid w:val="0044523E"/>
    <w:rsid w:val="00446B6A"/>
    <w:rsid w:val="00453565"/>
    <w:rsid w:val="00460476"/>
    <w:rsid w:val="00462C72"/>
    <w:rsid w:val="0047077E"/>
    <w:rsid w:val="00473258"/>
    <w:rsid w:val="00482C79"/>
    <w:rsid w:val="00483BFE"/>
    <w:rsid w:val="00484529"/>
    <w:rsid w:val="00486EAA"/>
    <w:rsid w:val="00494210"/>
    <w:rsid w:val="004956DB"/>
    <w:rsid w:val="00496148"/>
    <w:rsid w:val="004A13CB"/>
    <w:rsid w:val="004A492F"/>
    <w:rsid w:val="004A671E"/>
    <w:rsid w:val="004B40AF"/>
    <w:rsid w:val="004C4F9A"/>
    <w:rsid w:val="004C5943"/>
    <w:rsid w:val="004D1AEA"/>
    <w:rsid w:val="004E0C98"/>
    <w:rsid w:val="004E174B"/>
    <w:rsid w:val="004E4972"/>
    <w:rsid w:val="004F283F"/>
    <w:rsid w:val="004F4C75"/>
    <w:rsid w:val="004F6B7E"/>
    <w:rsid w:val="004F7432"/>
    <w:rsid w:val="004F7845"/>
    <w:rsid w:val="005034D0"/>
    <w:rsid w:val="00511C0E"/>
    <w:rsid w:val="005202A7"/>
    <w:rsid w:val="00523BBF"/>
    <w:rsid w:val="00524B35"/>
    <w:rsid w:val="00525706"/>
    <w:rsid w:val="00534ACA"/>
    <w:rsid w:val="00535407"/>
    <w:rsid w:val="00536CF1"/>
    <w:rsid w:val="005634F3"/>
    <w:rsid w:val="00566E18"/>
    <w:rsid w:val="00570910"/>
    <w:rsid w:val="00573BEF"/>
    <w:rsid w:val="00574ACB"/>
    <w:rsid w:val="005774EF"/>
    <w:rsid w:val="005817B3"/>
    <w:rsid w:val="00582C51"/>
    <w:rsid w:val="0058604F"/>
    <w:rsid w:val="00593871"/>
    <w:rsid w:val="0059406E"/>
    <w:rsid w:val="0059488D"/>
    <w:rsid w:val="005961B6"/>
    <w:rsid w:val="005A23E5"/>
    <w:rsid w:val="005A2DE8"/>
    <w:rsid w:val="005A5FD3"/>
    <w:rsid w:val="005A6159"/>
    <w:rsid w:val="005A70FD"/>
    <w:rsid w:val="005A7CF4"/>
    <w:rsid w:val="005B01B1"/>
    <w:rsid w:val="005B5637"/>
    <w:rsid w:val="005C30AB"/>
    <w:rsid w:val="005C349B"/>
    <w:rsid w:val="005C4680"/>
    <w:rsid w:val="005D3822"/>
    <w:rsid w:val="005D4B90"/>
    <w:rsid w:val="005E2126"/>
    <w:rsid w:val="005E778E"/>
    <w:rsid w:val="005F345D"/>
    <w:rsid w:val="005F49BA"/>
    <w:rsid w:val="00605304"/>
    <w:rsid w:val="0061253D"/>
    <w:rsid w:val="00614637"/>
    <w:rsid w:val="006269B8"/>
    <w:rsid w:val="006305A4"/>
    <w:rsid w:val="006320FC"/>
    <w:rsid w:val="00632F37"/>
    <w:rsid w:val="00635539"/>
    <w:rsid w:val="0064029C"/>
    <w:rsid w:val="00641715"/>
    <w:rsid w:val="0064488C"/>
    <w:rsid w:val="00644E84"/>
    <w:rsid w:val="00647689"/>
    <w:rsid w:val="00653629"/>
    <w:rsid w:val="0067261C"/>
    <w:rsid w:val="006759D7"/>
    <w:rsid w:val="00675DEC"/>
    <w:rsid w:val="00681A29"/>
    <w:rsid w:val="006846E9"/>
    <w:rsid w:val="006925CA"/>
    <w:rsid w:val="006A1AEA"/>
    <w:rsid w:val="006A3618"/>
    <w:rsid w:val="006B0B0C"/>
    <w:rsid w:val="006B73D7"/>
    <w:rsid w:val="006C1E64"/>
    <w:rsid w:val="006C4C01"/>
    <w:rsid w:val="006C62AE"/>
    <w:rsid w:val="006C7C73"/>
    <w:rsid w:val="006D0D5B"/>
    <w:rsid w:val="006D7DDA"/>
    <w:rsid w:val="006E07AD"/>
    <w:rsid w:val="006E295A"/>
    <w:rsid w:val="006E2A5D"/>
    <w:rsid w:val="006E2CA0"/>
    <w:rsid w:val="006E57ED"/>
    <w:rsid w:val="006E7DC0"/>
    <w:rsid w:val="006F1784"/>
    <w:rsid w:val="006F387F"/>
    <w:rsid w:val="006F6558"/>
    <w:rsid w:val="006F6836"/>
    <w:rsid w:val="006F7EA9"/>
    <w:rsid w:val="00703F04"/>
    <w:rsid w:val="00704383"/>
    <w:rsid w:val="00704CAE"/>
    <w:rsid w:val="00704CE7"/>
    <w:rsid w:val="00707436"/>
    <w:rsid w:val="007152E9"/>
    <w:rsid w:val="00715A6F"/>
    <w:rsid w:val="007171E1"/>
    <w:rsid w:val="00721FE4"/>
    <w:rsid w:val="00730156"/>
    <w:rsid w:val="007310CB"/>
    <w:rsid w:val="00731CFD"/>
    <w:rsid w:val="00735B71"/>
    <w:rsid w:val="0073764F"/>
    <w:rsid w:val="007429EA"/>
    <w:rsid w:val="00746C89"/>
    <w:rsid w:val="00746D25"/>
    <w:rsid w:val="00746D6D"/>
    <w:rsid w:val="00747A25"/>
    <w:rsid w:val="00755C2C"/>
    <w:rsid w:val="00757FBC"/>
    <w:rsid w:val="00762010"/>
    <w:rsid w:val="00762B94"/>
    <w:rsid w:val="007636A9"/>
    <w:rsid w:val="007644F6"/>
    <w:rsid w:val="00772C00"/>
    <w:rsid w:val="00774D46"/>
    <w:rsid w:val="007778CA"/>
    <w:rsid w:val="00780D4E"/>
    <w:rsid w:val="00780ED1"/>
    <w:rsid w:val="00786573"/>
    <w:rsid w:val="007913C0"/>
    <w:rsid w:val="007947A2"/>
    <w:rsid w:val="00794DDF"/>
    <w:rsid w:val="00796151"/>
    <w:rsid w:val="007A279B"/>
    <w:rsid w:val="007A40C6"/>
    <w:rsid w:val="007A71F5"/>
    <w:rsid w:val="007B1532"/>
    <w:rsid w:val="007B35CC"/>
    <w:rsid w:val="007C27F7"/>
    <w:rsid w:val="007C2F05"/>
    <w:rsid w:val="007C3638"/>
    <w:rsid w:val="007D0A36"/>
    <w:rsid w:val="007D364A"/>
    <w:rsid w:val="007E36AE"/>
    <w:rsid w:val="007F3ADE"/>
    <w:rsid w:val="007F6530"/>
    <w:rsid w:val="008006B1"/>
    <w:rsid w:val="00802C1F"/>
    <w:rsid w:val="00803382"/>
    <w:rsid w:val="008038AF"/>
    <w:rsid w:val="00805CC9"/>
    <w:rsid w:val="0081720F"/>
    <w:rsid w:val="00817652"/>
    <w:rsid w:val="008227FA"/>
    <w:rsid w:val="0082370F"/>
    <w:rsid w:val="00824185"/>
    <w:rsid w:val="00826E39"/>
    <w:rsid w:val="00830EE4"/>
    <w:rsid w:val="00832E03"/>
    <w:rsid w:val="00836F9D"/>
    <w:rsid w:val="00841057"/>
    <w:rsid w:val="00841D68"/>
    <w:rsid w:val="0084403C"/>
    <w:rsid w:val="0084449E"/>
    <w:rsid w:val="00844796"/>
    <w:rsid w:val="00852298"/>
    <w:rsid w:val="00863426"/>
    <w:rsid w:val="00863B51"/>
    <w:rsid w:val="00864BB5"/>
    <w:rsid w:val="008741AD"/>
    <w:rsid w:val="00880D8A"/>
    <w:rsid w:val="008814A9"/>
    <w:rsid w:val="008867EE"/>
    <w:rsid w:val="00890E24"/>
    <w:rsid w:val="008923CE"/>
    <w:rsid w:val="00895B3F"/>
    <w:rsid w:val="00897E30"/>
    <w:rsid w:val="008A0463"/>
    <w:rsid w:val="008B298D"/>
    <w:rsid w:val="008B757E"/>
    <w:rsid w:val="008C19D7"/>
    <w:rsid w:val="008C2F0B"/>
    <w:rsid w:val="008C6D1C"/>
    <w:rsid w:val="008D103D"/>
    <w:rsid w:val="008D1AF1"/>
    <w:rsid w:val="008D5C58"/>
    <w:rsid w:val="008D6AD5"/>
    <w:rsid w:val="008D6C8B"/>
    <w:rsid w:val="008E3C0F"/>
    <w:rsid w:val="00904A3B"/>
    <w:rsid w:val="009076FD"/>
    <w:rsid w:val="00912BB1"/>
    <w:rsid w:val="00914F3F"/>
    <w:rsid w:val="00922B20"/>
    <w:rsid w:val="00923A48"/>
    <w:rsid w:val="009245AC"/>
    <w:rsid w:val="009248FE"/>
    <w:rsid w:val="00933C2C"/>
    <w:rsid w:val="0093423B"/>
    <w:rsid w:val="00934855"/>
    <w:rsid w:val="0093522D"/>
    <w:rsid w:val="0094198D"/>
    <w:rsid w:val="009426AD"/>
    <w:rsid w:val="009542DE"/>
    <w:rsid w:val="0096175C"/>
    <w:rsid w:val="00970A1C"/>
    <w:rsid w:val="00971AD8"/>
    <w:rsid w:val="00972301"/>
    <w:rsid w:val="0097232C"/>
    <w:rsid w:val="00987D38"/>
    <w:rsid w:val="009946AB"/>
    <w:rsid w:val="009A0FBA"/>
    <w:rsid w:val="009A266F"/>
    <w:rsid w:val="009A45F8"/>
    <w:rsid w:val="009A73E1"/>
    <w:rsid w:val="009B10C4"/>
    <w:rsid w:val="009C0356"/>
    <w:rsid w:val="009C30EA"/>
    <w:rsid w:val="009C37E4"/>
    <w:rsid w:val="009D170D"/>
    <w:rsid w:val="009D1C36"/>
    <w:rsid w:val="009D1F9A"/>
    <w:rsid w:val="009E1151"/>
    <w:rsid w:val="009E2D62"/>
    <w:rsid w:val="009E349F"/>
    <w:rsid w:val="009F2C1F"/>
    <w:rsid w:val="009F4EB3"/>
    <w:rsid w:val="009F7B04"/>
    <w:rsid w:val="00A04CAD"/>
    <w:rsid w:val="00A05CDC"/>
    <w:rsid w:val="00A14F7E"/>
    <w:rsid w:val="00A165D5"/>
    <w:rsid w:val="00A16B1E"/>
    <w:rsid w:val="00A201E8"/>
    <w:rsid w:val="00A21540"/>
    <w:rsid w:val="00A23DC8"/>
    <w:rsid w:val="00A24214"/>
    <w:rsid w:val="00A2559B"/>
    <w:rsid w:val="00A268B4"/>
    <w:rsid w:val="00A26CA9"/>
    <w:rsid w:val="00A3590D"/>
    <w:rsid w:val="00A421B9"/>
    <w:rsid w:val="00A448B2"/>
    <w:rsid w:val="00A44CD0"/>
    <w:rsid w:val="00A46EBA"/>
    <w:rsid w:val="00A501F3"/>
    <w:rsid w:val="00A52DBD"/>
    <w:rsid w:val="00A54CC1"/>
    <w:rsid w:val="00A55B64"/>
    <w:rsid w:val="00A5694D"/>
    <w:rsid w:val="00A6341A"/>
    <w:rsid w:val="00A72F11"/>
    <w:rsid w:val="00A73142"/>
    <w:rsid w:val="00A764D8"/>
    <w:rsid w:val="00A775A1"/>
    <w:rsid w:val="00A8140C"/>
    <w:rsid w:val="00A8660E"/>
    <w:rsid w:val="00A90651"/>
    <w:rsid w:val="00A92EE7"/>
    <w:rsid w:val="00AA4A14"/>
    <w:rsid w:val="00AA5103"/>
    <w:rsid w:val="00AB0E67"/>
    <w:rsid w:val="00AB616E"/>
    <w:rsid w:val="00AC0533"/>
    <w:rsid w:val="00AC1BB3"/>
    <w:rsid w:val="00AD29B3"/>
    <w:rsid w:val="00AD2C98"/>
    <w:rsid w:val="00AD3A52"/>
    <w:rsid w:val="00AD4F63"/>
    <w:rsid w:val="00AD74A4"/>
    <w:rsid w:val="00AF1ADB"/>
    <w:rsid w:val="00AF6324"/>
    <w:rsid w:val="00AF6A68"/>
    <w:rsid w:val="00B0048B"/>
    <w:rsid w:val="00B018AF"/>
    <w:rsid w:val="00B16740"/>
    <w:rsid w:val="00B211A3"/>
    <w:rsid w:val="00B221CA"/>
    <w:rsid w:val="00B22644"/>
    <w:rsid w:val="00B323EA"/>
    <w:rsid w:val="00B36C57"/>
    <w:rsid w:val="00B407E0"/>
    <w:rsid w:val="00B41E6F"/>
    <w:rsid w:val="00B42670"/>
    <w:rsid w:val="00B43956"/>
    <w:rsid w:val="00B46E44"/>
    <w:rsid w:val="00B503AA"/>
    <w:rsid w:val="00B518D1"/>
    <w:rsid w:val="00B51D59"/>
    <w:rsid w:val="00B52897"/>
    <w:rsid w:val="00B52CF9"/>
    <w:rsid w:val="00B63662"/>
    <w:rsid w:val="00B64D1C"/>
    <w:rsid w:val="00B662F5"/>
    <w:rsid w:val="00B72507"/>
    <w:rsid w:val="00B77BE1"/>
    <w:rsid w:val="00B81B44"/>
    <w:rsid w:val="00B81EA5"/>
    <w:rsid w:val="00B86A08"/>
    <w:rsid w:val="00B93387"/>
    <w:rsid w:val="00B958DD"/>
    <w:rsid w:val="00B9774C"/>
    <w:rsid w:val="00BA11EE"/>
    <w:rsid w:val="00BB30F8"/>
    <w:rsid w:val="00BB3D9A"/>
    <w:rsid w:val="00BB5D27"/>
    <w:rsid w:val="00BB6C76"/>
    <w:rsid w:val="00BC0A01"/>
    <w:rsid w:val="00BC584D"/>
    <w:rsid w:val="00BC6C61"/>
    <w:rsid w:val="00BD2EBA"/>
    <w:rsid w:val="00BD3FC5"/>
    <w:rsid w:val="00BE0AB5"/>
    <w:rsid w:val="00BE2180"/>
    <w:rsid w:val="00BE2CA7"/>
    <w:rsid w:val="00BE490E"/>
    <w:rsid w:val="00BE59EC"/>
    <w:rsid w:val="00BE61CC"/>
    <w:rsid w:val="00BF3FB9"/>
    <w:rsid w:val="00C07CA0"/>
    <w:rsid w:val="00C1274E"/>
    <w:rsid w:val="00C170E1"/>
    <w:rsid w:val="00C203BD"/>
    <w:rsid w:val="00C24873"/>
    <w:rsid w:val="00C26CA8"/>
    <w:rsid w:val="00C31713"/>
    <w:rsid w:val="00C340A2"/>
    <w:rsid w:val="00C34C3A"/>
    <w:rsid w:val="00C36B12"/>
    <w:rsid w:val="00C40655"/>
    <w:rsid w:val="00C43875"/>
    <w:rsid w:val="00C52FAF"/>
    <w:rsid w:val="00C53852"/>
    <w:rsid w:val="00C54022"/>
    <w:rsid w:val="00C560B1"/>
    <w:rsid w:val="00C66A7C"/>
    <w:rsid w:val="00C718F4"/>
    <w:rsid w:val="00C724CF"/>
    <w:rsid w:val="00C7379D"/>
    <w:rsid w:val="00C758A6"/>
    <w:rsid w:val="00C766C4"/>
    <w:rsid w:val="00C81979"/>
    <w:rsid w:val="00C827A1"/>
    <w:rsid w:val="00C920E6"/>
    <w:rsid w:val="00C94E9B"/>
    <w:rsid w:val="00CA0F31"/>
    <w:rsid w:val="00CA7CB6"/>
    <w:rsid w:val="00CB3EA2"/>
    <w:rsid w:val="00CC17A1"/>
    <w:rsid w:val="00CC704A"/>
    <w:rsid w:val="00CD1563"/>
    <w:rsid w:val="00CD227A"/>
    <w:rsid w:val="00CD3138"/>
    <w:rsid w:val="00CD3902"/>
    <w:rsid w:val="00D108E7"/>
    <w:rsid w:val="00D1108E"/>
    <w:rsid w:val="00D12D29"/>
    <w:rsid w:val="00D13FB6"/>
    <w:rsid w:val="00D14C50"/>
    <w:rsid w:val="00D163F9"/>
    <w:rsid w:val="00D171BA"/>
    <w:rsid w:val="00D17C2E"/>
    <w:rsid w:val="00D17E51"/>
    <w:rsid w:val="00D17F74"/>
    <w:rsid w:val="00D22279"/>
    <w:rsid w:val="00D240CA"/>
    <w:rsid w:val="00D251DC"/>
    <w:rsid w:val="00D268EE"/>
    <w:rsid w:val="00D26B10"/>
    <w:rsid w:val="00D32D23"/>
    <w:rsid w:val="00D36688"/>
    <w:rsid w:val="00D40752"/>
    <w:rsid w:val="00D41118"/>
    <w:rsid w:val="00D42A2A"/>
    <w:rsid w:val="00D5589B"/>
    <w:rsid w:val="00D70BA5"/>
    <w:rsid w:val="00D81121"/>
    <w:rsid w:val="00D83C55"/>
    <w:rsid w:val="00D853CB"/>
    <w:rsid w:val="00DA1B21"/>
    <w:rsid w:val="00DB0E00"/>
    <w:rsid w:val="00DC051E"/>
    <w:rsid w:val="00DC6BF2"/>
    <w:rsid w:val="00DD1ED5"/>
    <w:rsid w:val="00DD2A17"/>
    <w:rsid w:val="00DE14AD"/>
    <w:rsid w:val="00DE26BB"/>
    <w:rsid w:val="00DE305A"/>
    <w:rsid w:val="00DE3F5B"/>
    <w:rsid w:val="00DF1996"/>
    <w:rsid w:val="00DF4F1B"/>
    <w:rsid w:val="00DF5608"/>
    <w:rsid w:val="00DF6103"/>
    <w:rsid w:val="00E038E1"/>
    <w:rsid w:val="00E07530"/>
    <w:rsid w:val="00E175CE"/>
    <w:rsid w:val="00E23416"/>
    <w:rsid w:val="00E24238"/>
    <w:rsid w:val="00E2571A"/>
    <w:rsid w:val="00E26951"/>
    <w:rsid w:val="00E32E47"/>
    <w:rsid w:val="00E35BA5"/>
    <w:rsid w:val="00E3620C"/>
    <w:rsid w:val="00E4190B"/>
    <w:rsid w:val="00E46DCE"/>
    <w:rsid w:val="00E52B14"/>
    <w:rsid w:val="00E5434A"/>
    <w:rsid w:val="00E62639"/>
    <w:rsid w:val="00E6355F"/>
    <w:rsid w:val="00E64445"/>
    <w:rsid w:val="00E64A8C"/>
    <w:rsid w:val="00E64DEF"/>
    <w:rsid w:val="00E6765E"/>
    <w:rsid w:val="00E71B7B"/>
    <w:rsid w:val="00E74ADE"/>
    <w:rsid w:val="00E93167"/>
    <w:rsid w:val="00E93BD1"/>
    <w:rsid w:val="00EA1A71"/>
    <w:rsid w:val="00EA71A4"/>
    <w:rsid w:val="00EB48C0"/>
    <w:rsid w:val="00EB6ED8"/>
    <w:rsid w:val="00EC0187"/>
    <w:rsid w:val="00EC061E"/>
    <w:rsid w:val="00EC12E3"/>
    <w:rsid w:val="00EC1CF4"/>
    <w:rsid w:val="00EC2D08"/>
    <w:rsid w:val="00EC3DDD"/>
    <w:rsid w:val="00EC7DB4"/>
    <w:rsid w:val="00ED0E01"/>
    <w:rsid w:val="00ED137E"/>
    <w:rsid w:val="00ED7203"/>
    <w:rsid w:val="00EE0378"/>
    <w:rsid w:val="00EE2243"/>
    <w:rsid w:val="00EE4BC3"/>
    <w:rsid w:val="00EE5F81"/>
    <w:rsid w:val="00EF3C04"/>
    <w:rsid w:val="00EF4BF1"/>
    <w:rsid w:val="00EF6DB4"/>
    <w:rsid w:val="00EF7515"/>
    <w:rsid w:val="00EF7C7D"/>
    <w:rsid w:val="00F01175"/>
    <w:rsid w:val="00F03C4E"/>
    <w:rsid w:val="00F06746"/>
    <w:rsid w:val="00F076DC"/>
    <w:rsid w:val="00F12773"/>
    <w:rsid w:val="00F12CEA"/>
    <w:rsid w:val="00F134B9"/>
    <w:rsid w:val="00F14960"/>
    <w:rsid w:val="00F14FE2"/>
    <w:rsid w:val="00F2458A"/>
    <w:rsid w:val="00F27493"/>
    <w:rsid w:val="00F27C0E"/>
    <w:rsid w:val="00F3052C"/>
    <w:rsid w:val="00F34CE9"/>
    <w:rsid w:val="00F35208"/>
    <w:rsid w:val="00F51210"/>
    <w:rsid w:val="00F539ED"/>
    <w:rsid w:val="00F543DA"/>
    <w:rsid w:val="00F64D34"/>
    <w:rsid w:val="00F6516A"/>
    <w:rsid w:val="00F66F3D"/>
    <w:rsid w:val="00F769BE"/>
    <w:rsid w:val="00F907E8"/>
    <w:rsid w:val="00F90AAD"/>
    <w:rsid w:val="00F9298B"/>
    <w:rsid w:val="00FA309A"/>
    <w:rsid w:val="00FB0005"/>
    <w:rsid w:val="00FB0F97"/>
    <w:rsid w:val="00FB27B4"/>
    <w:rsid w:val="00FB5955"/>
    <w:rsid w:val="00FC09D0"/>
    <w:rsid w:val="00FC25EE"/>
    <w:rsid w:val="00FC7A02"/>
    <w:rsid w:val="00FD49C4"/>
    <w:rsid w:val="00FD5567"/>
    <w:rsid w:val="00FD79E3"/>
    <w:rsid w:val="00FE0B93"/>
    <w:rsid w:val="00FE37E2"/>
    <w:rsid w:val="00FF0F83"/>
    <w:rsid w:val="00FF2CDD"/>
    <w:rsid w:val="00FF2CF0"/>
    <w:rsid w:val="00FF5D0A"/>
    <w:rsid w:val="00FF61AA"/>
    <w:rsid w:val="00FF6B9B"/>
    <w:rsid w:val="01320EAC"/>
    <w:rsid w:val="01F733B9"/>
    <w:rsid w:val="07E662DC"/>
    <w:rsid w:val="0A546A76"/>
    <w:rsid w:val="0DD20BBE"/>
    <w:rsid w:val="0EB91BB1"/>
    <w:rsid w:val="13134643"/>
    <w:rsid w:val="15502E49"/>
    <w:rsid w:val="164969A0"/>
    <w:rsid w:val="16BC446C"/>
    <w:rsid w:val="181D45BE"/>
    <w:rsid w:val="187742D2"/>
    <w:rsid w:val="190252FD"/>
    <w:rsid w:val="194126E5"/>
    <w:rsid w:val="195833E4"/>
    <w:rsid w:val="198B628F"/>
    <w:rsid w:val="1B2D3A7E"/>
    <w:rsid w:val="22E408A8"/>
    <w:rsid w:val="26DD5ED9"/>
    <w:rsid w:val="27B91A5B"/>
    <w:rsid w:val="285C4E73"/>
    <w:rsid w:val="291F6E0E"/>
    <w:rsid w:val="2A1F0DAE"/>
    <w:rsid w:val="2DD73D5D"/>
    <w:rsid w:val="2F2D5478"/>
    <w:rsid w:val="304E1968"/>
    <w:rsid w:val="30BC1848"/>
    <w:rsid w:val="315D1254"/>
    <w:rsid w:val="316B3A61"/>
    <w:rsid w:val="31AE79F9"/>
    <w:rsid w:val="3237579B"/>
    <w:rsid w:val="39560F62"/>
    <w:rsid w:val="3C825427"/>
    <w:rsid w:val="3DC65AF9"/>
    <w:rsid w:val="3F170A3B"/>
    <w:rsid w:val="418812DE"/>
    <w:rsid w:val="426818A3"/>
    <w:rsid w:val="42935686"/>
    <w:rsid w:val="43856397"/>
    <w:rsid w:val="438D638F"/>
    <w:rsid w:val="453E21F6"/>
    <w:rsid w:val="48647B0D"/>
    <w:rsid w:val="497928A9"/>
    <w:rsid w:val="4A882397"/>
    <w:rsid w:val="4AAE3BED"/>
    <w:rsid w:val="4F446337"/>
    <w:rsid w:val="510D4C3E"/>
    <w:rsid w:val="51855996"/>
    <w:rsid w:val="520645A6"/>
    <w:rsid w:val="52856958"/>
    <w:rsid w:val="55007F1D"/>
    <w:rsid w:val="55F2235F"/>
    <w:rsid w:val="59E772D7"/>
    <w:rsid w:val="59EC233E"/>
    <w:rsid w:val="5AAA7344"/>
    <w:rsid w:val="5D8107B2"/>
    <w:rsid w:val="61D00FF7"/>
    <w:rsid w:val="62680856"/>
    <w:rsid w:val="66251515"/>
    <w:rsid w:val="6631636D"/>
    <w:rsid w:val="66600C6E"/>
    <w:rsid w:val="66710D17"/>
    <w:rsid w:val="68262D7A"/>
    <w:rsid w:val="6C2F701A"/>
    <w:rsid w:val="6C747AB2"/>
    <w:rsid w:val="6D5A2EC2"/>
    <w:rsid w:val="6ECB1AF1"/>
    <w:rsid w:val="70B14F03"/>
    <w:rsid w:val="72D67A9F"/>
    <w:rsid w:val="76E77B33"/>
    <w:rsid w:val="77346F05"/>
    <w:rsid w:val="7B5C30BF"/>
    <w:rsid w:val="7E395543"/>
    <w:rsid w:val="7EA22981"/>
    <w:rsid w:val="7FA44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5"/>
    <w:qFormat/>
    <w:uiPriority w:val="0"/>
    <w:pPr>
      <w:widowControl/>
      <w:spacing w:before="240" w:after="240" w:line="576" w:lineRule="auto"/>
      <w:outlineLvl w:val="0"/>
    </w:pPr>
    <w:rPr>
      <w:rFonts w:ascii="Times New Roman" w:hAnsi="Times New Roman" w:eastAsia="文鼎小标宋简"/>
      <w:b/>
      <w:bCs/>
      <w:kern w:val="36"/>
      <w:sz w:val="32"/>
      <w:szCs w:val="44"/>
    </w:rPr>
  </w:style>
  <w:style w:type="paragraph" w:styleId="3">
    <w:name w:val="heading 2"/>
    <w:basedOn w:val="1"/>
    <w:next w:val="1"/>
    <w:link w:val="46"/>
    <w:qFormat/>
    <w:uiPriority w:val="0"/>
    <w:pPr>
      <w:widowControl/>
      <w:spacing w:beforeLines="50" w:afterLines="50" w:line="400" w:lineRule="exact"/>
      <w:ind w:firstLine="708" w:firstLineChars="221"/>
      <w:jc w:val="left"/>
      <w:outlineLvl w:val="1"/>
    </w:pPr>
    <w:rPr>
      <w:rFonts w:ascii="仿宋_GB2312" w:hAnsi="Arial" w:eastAsia="仿宋_GB2312" w:cs="Arial"/>
      <w:b/>
      <w:bCs/>
      <w:sz w:val="32"/>
      <w:szCs w:val="32"/>
    </w:rPr>
  </w:style>
  <w:style w:type="paragraph" w:styleId="4">
    <w:name w:val="heading 3"/>
    <w:basedOn w:val="1"/>
    <w:next w:val="5"/>
    <w:link w:val="50"/>
    <w:qFormat/>
    <w:uiPriority w:val="0"/>
    <w:pPr>
      <w:keepNext/>
      <w:keepLines/>
      <w:adjustRightInd w:val="0"/>
      <w:snapToGrid w:val="0"/>
      <w:spacing w:beforeLines="50" w:afterLines="50" w:line="360" w:lineRule="auto"/>
      <w:outlineLvl w:val="2"/>
    </w:pPr>
    <w:rPr>
      <w:rFonts w:ascii="宋体" w:hAnsi="宋体"/>
      <w:b/>
      <w:bCs/>
      <w:color w:val="000000"/>
      <w:sz w:val="30"/>
      <w:szCs w:val="30"/>
    </w:rPr>
  </w:style>
  <w:style w:type="paragraph" w:styleId="6">
    <w:name w:val="heading 4"/>
    <w:basedOn w:val="1"/>
    <w:next w:val="1"/>
    <w:link w:val="5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2"/>
    <w:qFormat/>
    <w:uiPriority w:val="0"/>
    <w:pPr>
      <w:keepNext/>
      <w:keepLines/>
      <w:spacing w:before="280" w:after="290" w:line="376" w:lineRule="auto"/>
      <w:outlineLvl w:val="4"/>
    </w:pPr>
    <w:rPr>
      <w:rFonts w:ascii="Times New Roman" w:hAnsi="Times New Roman"/>
      <w:b/>
      <w:bCs/>
      <w:sz w:val="28"/>
      <w:szCs w:val="28"/>
    </w:rPr>
  </w:style>
  <w:style w:type="paragraph" w:styleId="8">
    <w:name w:val="heading 9"/>
    <w:basedOn w:val="1"/>
    <w:next w:val="1"/>
    <w:link w:val="53"/>
    <w:qFormat/>
    <w:uiPriority w:val="0"/>
    <w:pPr>
      <w:keepNext/>
      <w:keepLines/>
      <w:spacing w:before="240" w:after="64" w:line="320" w:lineRule="auto"/>
      <w:outlineLvl w:val="8"/>
    </w:pPr>
    <w:rPr>
      <w:rFonts w:ascii="Arial" w:hAnsi="Arial" w:eastAsia="黑体"/>
      <w:szCs w:val="21"/>
    </w:rPr>
  </w:style>
  <w:style w:type="character" w:default="1" w:styleId="37">
    <w:name w:val="Default Paragraph Font"/>
    <w:unhideWhenUsed/>
    <w:qFormat/>
    <w:uiPriority w:val="1"/>
  </w:style>
  <w:style w:type="table" w:default="1" w:styleId="35">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szCs w:val="20"/>
    </w:rPr>
  </w:style>
  <w:style w:type="paragraph" w:styleId="9">
    <w:name w:val="toc 7"/>
    <w:basedOn w:val="1"/>
    <w:next w:val="1"/>
    <w:qFormat/>
    <w:uiPriority w:val="0"/>
    <w:pPr>
      <w:ind w:left="1260"/>
      <w:jc w:val="left"/>
    </w:pPr>
    <w:rPr>
      <w:rFonts w:ascii="Times New Roman" w:hAnsi="Times New Roman"/>
      <w:sz w:val="18"/>
      <w:szCs w:val="18"/>
    </w:rPr>
  </w:style>
  <w:style w:type="paragraph" w:styleId="10">
    <w:name w:val="caption"/>
    <w:basedOn w:val="1"/>
    <w:next w:val="1"/>
    <w:qFormat/>
    <w:uiPriority w:val="0"/>
    <w:rPr>
      <w:rFonts w:ascii="Arial" w:hAnsi="Arial" w:eastAsia="黑体" w:cs="Arial"/>
      <w:sz w:val="20"/>
      <w:szCs w:val="20"/>
    </w:rPr>
  </w:style>
  <w:style w:type="paragraph" w:styleId="11">
    <w:name w:val="Document Map"/>
    <w:basedOn w:val="1"/>
    <w:link w:val="58"/>
    <w:qFormat/>
    <w:uiPriority w:val="0"/>
    <w:rPr>
      <w:rFonts w:ascii="宋体" w:hAnsi="Times New Roman"/>
      <w:sz w:val="18"/>
      <w:szCs w:val="18"/>
    </w:rPr>
  </w:style>
  <w:style w:type="paragraph" w:styleId="12">
    <w:name w:val="annotation text"/>
    <w:basedOn w:val="1"/>
    <w:link w:val="84"/>
    <w:qFormat/>
    <w:uiPriority w:val="0"/>
    <w:pPr>
      <w:jc w:val="left"/>
    </w:pPr>
    <w:rPr>
      <w:rFonts w:ascii="Times New Roman" w:hAnsi="Times New Roman"/>
      <w:szCs w:val="24"/>
    </w:rPr>
  </w:style>
  <w:style w:type="paragraph" w:styleId="13">
    <w:name w:val="Body Text"/>
    <w:basedOn w:val="1"/>
    <w:link w:val="91"/>
    <w:qFormat/>
    <w:uiPriority w:val="0"/>
    <w:pPr>
      <w:spacing w:after="120"/>
    </w:pPr>
    <w:rPr>
      <w:rFonts w:ascii="Times New Roman" w:hAnsi="Times New Roman"/>
      <w:szCs w:val="20"/>
    </w:rPr>
  </w:style>
  <w:style w:type="paragraph" w:styleId="14">
    <w:name w:val="Body Text Indent"/>
    <w:basedOn w:val="1"/>
    <w:link w:val="63"/>
    <w:qFormat/>
    <w:uiPriority w:val="0"/>
    <w:pPr>
      <w:spacing w:after="120"/>
      <w:ind w:left="420" w:leftChars="200"/>
    </w:pPr>
    <w:rPr>
      <w:rFonts w:ascii="Times New Roman" w:hAnsi="Times New Roman"/>
      <w:szCs w:val="24"/>
    </w:rPr>
  </w:style>
  <w:style w:type="paragraph" w:styleId="15">
    <w:name w:val="Block Text"/>
    <w:basedOn w:val="1"/>
    <w:qFormat/>
    <w:uiPriority w:val="0"/>
    <w:pPr>
      <w:spacing w:line="300" w:lineRule="exact"/>
      <w:ind w:left="-65" w:leftChars="-31" w:right="-6" w:rightChars="-3"/>
      <w:jc w:val="center"/>
    </w:pPr>
    <w:rPr>
      <w:rFonts w:ascii="Times New Roman" w:hAnsi="Times New Roman"/>
      <w:szCs w:val="20"/>
    </w:rPr>
  </w:style>
  <w:style w:type="paragraph" w:styleId="16">
    <w:name w:val="toc 5"/>
    <w:basedOn w:val="1"/>
    <w:next w:val="1"/>
    <w:qFormat/>
    <w:uiPriority w:val="0"/>
    <w:pPr>
      <w:ind w:left="840"/>
      <w:jc w:val="left"/>
    </w:pPr>
    <w:rPr>
      <w:rFonts w:ascii="Times New Roman" w:hAnsi="Times New Roman"/>
      <w:sz w:val="18"/>
      <w:szCs w:val="18"/>
    </w:rPr>
  </w:style>
  <w:style w:type="paragraph" w:styleId="17">
    <w:name w:val="toc 3"/>
    <w:basedOn w:val="1"/>
    <w:next w:val="1"/>
    <w:qFormat/>
    <w:uiPriority w:val="0"/>
    <w:pPr>
      <w:ind w:left="420"/>
      <w:jc w:val="left"/>
    </w:pPr>
    <w:rPr>
      <w:rFonts w:ascii="Times New Roman" w:hAnsi="Times New Roman"/>
      <w:i/>
      <w:iCs/>
      <w:sz w:val="20"/>
      <w:szCs w:val="20"/>
    </w:rPr>
  </w:style>
  <w:style w:type="paragraph" w:styleId="18">
    <w:name w:val="Plain Text"/>
    <w:basedOn w:val="1"/>
    <w:link w:val="95"/>
    <w:qFormat/>
    <w:uiPriority w:val="0"/>
    <w:rPr>
      <w:rFonts w:ascii="宋体" w:hAnsi="Courier New"/>
      <w:szCs w:val="20"/>
    </w:rPr>
  </w:style>
  <w:style w:type="paragraph" w:styleId="19">
    <w:name w:val="toc 8"/>
    <w:basedOn w:val="1"/>
    <w:next w:val="1"/>
    <w:qFormat/>
    <w:uiPriority w:val="0"/>
    <w:pPr>
      <w:ind w:left="1470"/>
      <w:jc w:val="left"/>
    </w:pPr>
    <w:rPr>
      <w:rFonts w:ascii="Times New Roman" w:hAnsi="Times New Roman"/>
      <w:sz w:val="18"/>
      <w:szCs w:val="18"/>
    </w:rPr>
  </w:style>
  <w:style w:type="paragraph" w:styleId="20">
    <w:name w:val="Date"/>
    <w:basedOn w:val="1"/>
    <w:next w:val="1"/>
    <w:link w:val="99"/>
    <w:qFormat/>
    <w:uiPriority w:val="0"/>
    <w:pPr>
      <w:ind w:left="100" w:leftChars="2500"/>
    </w:pPr>
    <w:rPr>
      <w:rFonts w:ascii="Times New Roman" w:hAnsi="Times New Roman"/>
      <w:szCs w:val="20"/>
    </w:rPr>
  </w:style>
  <w:style w:type="paragraph" w:styleId="21">
    <w:name w:val="Body Text Indent 2"/>
    <w:basedOn w:val="1"/>
    <w:link w:val="100"/>
    <w:qFormat/>
    <w:uiPriority w:val="0"/>
    <w:pPr>
      <w:ind w:left="720"/>
    </w:pPr>
    <w:rPr>
      <w:rFonts w:ascii="Times New Roman" w:hAnsi="Times New Roman"/>
      <w:szCs w:val="20"/>
    </w:rPr>
  </w:style>
  <w:style w:type="paragraph" w:styleId="22">
    <w:name w:val="Balloon Text"/>
    <w:basedOn w:val="1"/>
    <w:link w:val="98"/>
    <w:qFormat/>
    <w:uiPriority w:val="0"/>
    <w:rPr>
      <w:rFonts w:ascii="Times New Roman" w:hAnsi="Times New Roman"/>
      <w:sz w:val="18"/>
      <w:szCs w:val="18"/>
    </w:rPr>
  </w:style>
  <w:style w:type="paragraph" w:styleId="23">
    <w:name w:val="footer"/>
    <w:basedOn w:val="1"/>
    <w:link w:val="55"/>
    <w:qFormat/>
    <w:uiPriority w:val="99"/>
    <w:pPr>
      <w:tabs>
        <w:tab w:val="center" w:pos="4153"/>
        <w:tab w:val="right" w:pos="8306"/>
      </w:tabs>
      <w:snapToGrid w:val="0"/>
      <w:jc w:val="left"/>
    </w:pPr>
    <w:rPr>
      <w:rFonts w:ascii="Times New Roman" w:hAnsi="Times New Roman"/>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25">
    <w:name w:val="toc 1"/>
    <w:next w:val="1"/>
    <w:qFormat/>
    <w:uiPriority w:val="39"/>
    <w:pPr>
      <w:widowControl w:val="0"/>
      <w:spacing w:before="120" w:after="120"/>
    </w:pPr>
    <w:rPr>
      <w:rFonts w:ascii="Times New Roman" w:hAnsi="Times New Roman" w:eastAsia="仿宋_GB2312" w:cs="Times New Roman"/>
      <w:b/>
      <w:bCs/>
      <w:caps/>
      <w:kern w:val="2"/>
      <w:lang w:val="en-US" w:eastAsia="zh-CN" w:bidi="ar-SA"/>
    </w:rPr>
  </w:style>
  <w:style w:type="paragraph" w:styleId="26">
    <w:name w:val="toc 6"/>
    <w:basedOn w:val="1"/>
    <w:next w:val="1"/>
    <w:qFormat/>
    <w:uiPriority w:val="0"/>
    <w:pPr>
      <w:ind w:left="1050"/>
      <w:jc w:val="left"/>
    </w:pPr>
    <w:rPr>
      <w:rFonts w:ascii="Times New Roman" w:hAnsi="Times New Roman"/>
      <w:sz w:val="18"/>
      <w:szCs w:val="18"/>
    </w:rPr>
  </w:style>
  <w:style w:type="paragraph" w:styleId="27">
    <w:name w:val="Body Text Indent 3"/>
    <w:basedOn w:val="1"/>
    <w:link w:val="102"/>
    <w:qFormat/>
    <w:uiPriority w:val="0"/>
    <w:pPr>
      <w:spacing w:line="520" w:lineRule="exact"/>
      <w:ind w:firstLine="509"/>
    </w:pPr>
    <w:rPr>
      <w:rFonts w:ascii="宋体" w:hAnsi="Times New Roman"/>
      <w:sz w:val="24"/>
      <w:szCs w:val="20"/>
    </w:rPr>
  </w:style>
  <w:style w:type="paragraph" w:styleId="28">
    <w:name w:val="toc 2"/>
    <w:next w:val="1"/>
    <w:qFormat/>
    <w:uiPriority w:val="39"/>
    <w:pPr>
      <w:widowControl w:val="0"/>
      <w:ind w:left="320"/>
    </w:pPr>
    <w:rPr>
      <w:rFonts w:ascii="Times New Roman" w:hAnsi="Times New Roman" w:eastAsia="仿宋_GB2312" w:cs="Times New Roman"/>
      <w:smallCaps/>
      <w:kern w:val="2"/>
      <w:lang w:val="en-US" w:eastAsia="zh-CN" w:bidi="ar-SA"/>
    </w:rPr>
  </w:style>
  <w:style w:type="paragraph" w:styleId="29">
    <w:name w:val="toc 9"/>
    <w:basedOn w:val="1"/>
    <w:next w:val="1"/>
    <w:qFormat/>
    <w:uiPriority w:val="0"/>
    <w:pPr>
      <w:ind w:left="1680"/>
      <w:jc w:val="left"/>
    </w:pPr>
    <w:rPr>
      <w:rFonts w:ascii="Times New Roman" w:hAnsi="Times New Roman"/>
      <w:sz w:val="18"/>
      <w:szCs w:val="18"/>
    </w:rPr>
  </w:style>
  <w:style w:type="paragraph" w:styleId="30">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1">
    <w:name w:val="Normal (Web)"/>
    <w:basedOn w:val="1"/>
    <w:qFormat/>
    <w:uiPriority w:val="0"/>
    <w:pPr>
      <w:widowControl/>
      <w:spacing w:before="100" w:beforeAutospacing="1" w:after="100" w:afterAutospacing="1" w:line="390" w:lineRule="atLeast"/>
      <w:jc w:val="left"/>
    </w:pPr>
    <w:rPr>
      <w:rFonts w:ascii="Arial" w:hAnsi="Arial" w:cs="Arial"/>
      <w:kern w:val="0"/>
      <w:szCs w:val="21"/>
    </w:rPr>
  </w:style>
  <w:style w:type="paragraph" w:styleId="32">
    <w:name w:val="Title"/>
    <w:basedOn w:val="1"/>
    <w:link w:val="103"/>
    <w:qFormat/>
    <w:uiPriority w:val="0"/>
    <w:pPr>
      <w:spacing w:before="240" w:after="60"/>
      <w:jc w:val="center"/>
      <w:outlineLvl w:val="0"/>
    </w:pPr>
    <w:rPr>
      <w:rFonts w:ascii="Arial" w:hAnsi="Arial" w:cs="Arial"/>
      <w:b/>
      <w:bCs/>
      <w:sz w:val="32"/>
      <w:szCs w:val="32"/>
    </w:rPr>
  </w:style>
  <w:style w:type="paragraph" w:styleId="33">
    <w:name w:val="annotation subject"/>
    <w:basedOn w:val="12"/>
    <w:next w:val="12"/>
    <w:link w:val="85"/>
    <w:qFormat/>
    <w:uiPriority w:val="0"/>
    <w:rPr>
      <w:b/>
      <w:bCs/>
      <w:szCs w:val="20"/>
    </w:rPr>
  </w:style>
  <w:style w:type="paragraph" w:styleId="34">
    <w:name w:val="Body Text First Indent 2"/>
    <w:basedOn w:val="14"/>
    <w:link w:val="64"/>
    <w:qFormat/>
    <w:uiPriority w:val="0"/>
    <w:pPr>
      <w:ind w:firstLine="420" w:firstLineChars="200"/>
    </w:pPr>
  </w:style>
  <w:style w:type="table" w:styleId="36">
    <w:name w:val="Table Grid"/>
    <w:basedOn w:val="35"/>
    <w:qFormat/>
    <w:uiPriority w:val="5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0"/>
    <w:rPr>
      <w:rFonts w:ascii="仿宋_GB2312" w:eastAsia="仿宋_GB2312"/>
      <w:b/>
      <w:bCs/>
      <w:sz w:val="32"/>
      <w:szCs w:val="32"/>
    </w:rPr>
  </w:style>
  <w:style w:type="character" w:styleId="39">
    <w:name w:val="page number"/>
    <w:basedOn w:val="37"/>
    <w:qFormat/>
    <w:uiPriority w:val="0"/>
    <w:rPr>
      <w:rFonts w:ascii="仿宋_GB2312" w:eastAsia="仿宋_GB2312"/>
      <w:b/>
      <w:sz w:val="32"/>
      <w:szCs w:val="32"/>
    </w:rPr>
  </w:style>
  <w:style w:type="character" w:styleId="40">
    <w:name w:val="FollowedHyperlink"/>
    <w:basedOn w:val="37"/>
    <w:qFormat/>
    <w:uiPriority w:val="0"/>
    <w:rPr>
      <w:rFonts w:ascii="Arial" w:hAnsi="Arial" w:eastAsia="仿宋_GB2312" w:cs="Arial"/>
      <w:b/>
      <w:color w:val="333333"/>
      <w:sz w:val="18"/>
      <w:szCs w:val="18"/>
      <w:u w:val="none"/>
    </w:rPr>
  </w:style>
  <w:style w:type="character" w:styleId="41">
    <w:name w:val="Emphasis"/>
    <w:basedOn w:val="37"/>
    <w:qFormat/>
    <w:uiPriority w:val="0"/>
    <w:rPr>
      <w:rFonts w:ascii="仿宋_GB2312" w:eastAsia="仿宋_GB2312"/>
      <w:b/>
      <w:i/>
      <w:iCs/>
      <w:sz w:val="32"/>
      <w:szCs w:val="32"/>
    </w:rPr>
  </w:style>
  <w:style w:type="character" w:styleId="42">
    <w:name w:val="Hyperlink"/>
    <w:qFormat/>
    <w:uiPriority w:val="99"/>
    <w:rPr>
      <w:color w:val="0000FF"/>
      <w:u w:val="single"/>
    </w:rPr>
  </w:style>
  <w:style w:type="character" w:styleId="43">
    <w:name w:val="annotation reference"/>
    <w:basedOn w:val="37"/>
    <w:qFormat/>
    <w:uiPriority w:val="0"/>
    <w:rPr>
      <w:rFonts w:ascii="仿宋_GB2312" w:eastAsia="仿宋_GB2312"/>
      <w:b/>
      <w:sz w:val="21"/>
      <w:szCs w:val="21"/>
    </w:rPr>
  </w:style>
  <w:style w:type="paragraph" w:customStyle="1" w:styleId="44">
    <w:name w:val="p0"/>
    <w:basedOn w:val="1"/>
    <w:qFormat/>
    <w:uiPriority w:val="0"/>
    <w:pPr>
      <w:widowControl/>
    </w:pPr>
    <w:rPr>
      <w:rFonts w:ascii="Times New Roman" w:hAnsi="Times New Roman"/>
      <w:kern w:val="0"/>
      <w:sz w:val="32"/>
      <w:szCs w:val="32"/>
    </w:rPr>
  </w:style>
  <w:style w:type="character" w:customStyle="1" w:styleId="45">
    <w:name w:val="标题 1 Char"/>
    <w:basedOn w:val="37"/>
    <w:link w:val="2"/>
    <w:qFormat/>
    <w:uiPriority w:val="0"/>
    <w:rPr>
      <w:rFonts w:ascii="Times New Roman" w:hAnsi="Times New Roman" w:eastAsia="文鼎小标宋简" w:cs="Times New Roman"/>
      <w:b/>
      <w:bCs/>
      <w:kern w:val="36"/>
      <w:sz w:val="32"/>
      <w:szCs w:val="44"/>
    </w:rPr>
  </w:style>
  <w:style w:type="character" w:customStyle="1" w:styleId="46">
    <w:name w:val="标题 2 Char"/>
    <w:basedOn w:val="37"/>
    <w:link w:val="3"/>
    <w:qFormat/>
    <w:uiPriority w:val="0"/>
    <w:rPr>
      <w:rFonts w:ascii="仿宋_GB2312" w:hAnsi="Arial" w:eastAsia="仿宋_GB2312" w:cs="Arial"/>
      <w:b/>
      <w:bCs/>
      <w:kern w:val="2"/>
      <w:sz w:val="32"/>
      <w:szCs w:val="32"/>
    </w:rPr>
  </w:style>
  <w:style w:type="paragraph" w:customStyle="1" w:styleId="47">
    <w:name w:val="Char Char12"/>
    <w:basedOn w:val="1"/>
    <w:qFormat/>
    <w:uiPriority w:val="0"/>
    <w:pPr>
      <w:adjustRightInd w:val="0"/>
      <w:spacing w:line="360" w:lineRule="auto"/>
      <w:ind w:firstLine="540" w:firstLineChars="225"/>
      <w:jc w:val="left"/>
    </w:pPr>
    <w:rPr>
      <w:rFonts w:ascii="宋体" w:hAnsi="宋体" w:cs="宋体"/>
      <w:sz w:val="24"/>
      <w:szCs w:val="24"/>
    </w:rPr>
  </w:style>
  <w:style w:type="paragraph" w:customStyle="1" w:styleId="48">
    <w:name w:val="Char Char121"/>
    <w:basedOn w:val="1"/>
    <w:qFormat/>
    <w:uiPriority w:val="0"/>
    <w:pPr>
      <w:adjustRightInd w:val="0"/>
      <w:spacing w:line="360" w:lineRule="auto"/>
      <w:ind w:firstLine="540" w:firstLineChars="225"/>
      <w:jc w:val="left"/>
    </w:pPr>
    <w:rPr>
      <w:rFonts w:ascii="宋体" w:hAnsi="宋体" w:cs="宋体"/>
      <w:sz w:val="24"/>
      <w:szCs w:val="24"/>
    </w:rPr>
  </w:style>
  <w:style w:type="paragraph" w:customStyle="1" w:styleId="49">
    <w:name w:val="Char Char122"/>
    <w:basedOn w:val="1"/>
    <w:qFormat/>
    <w:uiPriority w:val="0"/>
    <w:pPr>
      <w:adjustRightInd w:val="0"/>
      <w:spacing w:line="360" w:lineRule="auto"/>
      <w:ind w:firstLine="540" w:firstLineChars="225"/>
      <w:jc w:val="left"/>
    </w:pPr>
    <w:rPr>
      <w:rFonts w:ascii="宋体" w:hAnsi="宋体" w:cs="宋体"/>
      <w:sz w:val="24"/>
      <w:szCs w:val="24"/>
    </w:rPr>
  </w:style>
  <w:style w:type="character" w:customStyle="1" w:styleId="50">
    <w:name w:val="标题 3 Char"/>
    <w:basedOn w:val="37"/>
    <w:link w:val="4"/>
    <w:qFormat/>
    <w:uiPriority w:val="0"/>
    <w:rPr>
      <w:rFonts w:ascii="宋体" w:hAnsi="宋体" w:eastAsia="宋体" w:cs="Times New Roman"/>
      <w:b/>
      <w:bCs/>
      <w:color w:val="000000"/>
      <w:sz w:val="30"/>
      <w:szCs w:val="30"/>
    </w:rPr>
  </w:style>
  <w:style w:type="character" w:customStyle="1" w:styleId="51">
    <w:name w:val="标题 4 Char"/>
    <w:basedOn w:val="37"/>
    <w:link w:val="6"/>
    <w:qFormat/>
    <w:uiPriority w:val="0"/>
    <w:rPr>
      <w:rFonts w:ascii="Arial" w:hAnsi="Arial" w:eastAsia="黑体" w:cs="Times New Roman"/>
      <w:b/>
      <w:bCs/>
      <w:sz w:val="28"/>
      <w:szCs w:val="28"/>
    </w:rPr>
  </w:style>
  <w:style w:type="character" w:customStyle="1" w:styleId="52">
    <w:name w:val="标题 5 Char"/>
    <w:basedOn w:val="37"/>
    <w:link w:val="7"/>
    <w:qFormat/>
    <w:uiPriority w:val="0"/>
    <w:rPr>
      <w:rFonts w:ascii="Times New Roman" w:hAnsi="Times New Roman" w:eastAsia="宋体" w:cs="Times New Roman"/>
      <w:b/>
      <w:bCs/>
      <w:sz w:val="28"/>
      <w:szCs w:val="28"/>
    </w:rPr>
  </w:style>
  <w:style w:type="character" w:customStyle="1" w:styleId="53">
    <w:name w:val="标题 9 Char"/>
    <w:basedOn w:val="37"/>
    <w:link w:val="8"/>
    <w:qFormat/>
    <w:uiPriority w:val="0"/>
    <w:rPr>
      <w:rFonts w:ascii="Arial" w:hAnsi="Arial" w:eastAsia="黑体" w:cs="Times New Roman"/>
      <w:szCs w:val="21"/>
    </w:rPr>
  </w:style>
  <w:style w:type="character" w:customStyle="1" w:styleId="54">
    <w:name w:val="页眉 Char"/>
    <w:basedOn w:val="37"/>
    <w:link w:val="24"/>
    <w:qFormat/>
    <w:uiPriority w:val="0"/>
    <w:rPr>
      <w:rFonts w:ascii="Times New Roman" w:hAnsi="Times New Roman" w:eastAsia="宋体" w:cs="Times New Roman"/>
      <w:sz w:val="18"/>
      <w:szCs w:val="18"/>
    </w:rPr>
  </w:style>
  <w:style w:type="character" w:customStyle="1" w:styleId="55">
    <w:name w:val="页脚 Char"/>
    <w:basedOn w:val="37"/>
    <w:link w:val="23"/>
    <w:qFormat/>
    <w:uiPriority w:val="99"/>
    <w:rPr>
      <w:rFonts w:ascii="Times New Roman" w:hAnsi="Times New Roman" w:eastAsia="宋体" w:cs="Times New Roman"/>
      <w:sz w:val="18"/>
      <w:szCs w:val="18"/>
    </w:rPr>
  </w:style>
  <w:style w:type="paragraph" w:customStyle="1" w:styleId="56">
    <w:name w:val="Char Char123"/>
    <w:basedOn w:val="1"/>
    <w:qFormat/>
    <w:uiPriority w:val="0"/>
    <w:pPr>
      <w:adjustRightInd w:val="0"/>
      <w:spacing w:line="360" w:lineRule="auto"/>
      <w:ind w:firstLine="540" w:firstLineChars="225"/>
      <w:jc w:val="left"/>
    </w:pPr>
    <w:rPr>
      <w:rFonts w:ascii="宋体" w:hAnsi="宋体" w:cs="宋体"/>
      <w:sz w:val="24"/>
      <w:szCs w:val="24"/>
    </w:rPr>
  </w:style>
  <w:style w:type="paragraph" w:customStyle="1" w:styleId="57">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58">
    <w:name w:val="文档结构图 Char"/>
    <w:basedOn w:val="37"/>
    <w:link w:val="11"/>
    <w:qFormat/>
    <w:uiPriority w:val="0"/>
    <w:rPr>
      <w:rFonts w:ascii="宋体" w:hAnsi="Times New Roman" w:eastAsia="宋体" w:cs="Times New Roman"/>
      <w:sz w:val="18"/>
      <w:szCs w:val="18"/>
    </w:rPr>
  </w:style>
  <w:style w:type="paragraph" w:customStyle="1" w:styleId="59">
    <w:name w:val="表中文字"/>
    <w:qFormat/>
    <w:uiPriority w:val="0"/>
    <w:pPr>
      <w:snapToGrid w:val="0"/>
      <w:spacing w:beforeLines="25" w:afterLines="25"/>
      <w:jc w:val="center"/>
    </w:pPr>
    <w:rPr>
      <w:rFonts w:ascii="Times New Roman" w:hAnsi="Times New Roman" w:eastAsia="宋体" w:cs="Times New Roman"/>
      <w:kern w:val="2"/>
      <w:sz w:val="21"/>
      <w:szCs w:val="21"/>
      <w:lang w:val="en-US" w:eastAsia="zh-CN" w:bidi="ar-SA"/>
    </w:rPr>
  </w:style>
  <w:style w:type="character" w:customStyle="1" w:styleId="60">
    <w:name w:val="表标题 Char"/>
    <w:link w:val="61"/>
    <w:qFormat/>
    <w:uiPriority w:val="0"/>
    <w:rPr>
      <w:rFonts w:eastAsia="仿宋_GB2312"/>
      <w:b/>
      <w:kern w:val="2"/>
      <w:sz w:val="28"/>
      <w:szCs w:val="22"/>
      <w:lang w:val="en-US" w:eastAsia="zh-CN" w:bidi="ar-SA"/>
    </w:rPr>
  </w:style>
  <w:style w:type="paragraph" w:customStyle="1" w:styleId="61">
    <w:name w:val="表标题"/>
    <w:link w:val="60"/>
    <w:qFormat/>
    <w:uiPriority w:val="0"/>
    <w:pPr>
      <w:spacing w:beforeLines="100" w:afterLines="100"/>
      <w:jc w:val="center"/>
    </w:pPr>
    <w:rPr>
      <w:rFonts w:ascii="Calibri" w:hAnsi="Calibri" w:eastAsia="仿宋_GB2312" w:cs="Times New Roman"/>
      <w:b/>
      <w:kern w:val="2"/>
      <w:sz w:val="28"/>
      <w:szCs w:val="22"/>
      <w:lang w:val="en-US" w:eastAsia="zh-CN" w:bidi="ar-SA"/>
    </w:rPr>
  </w:style>
  <w:style w:type="paragraph" w:customStyle="1" w:styleId="62">
    <w:name w:val="M注释字体"/>
    <w:basedOn w:val="1"/>
    <w:next w:val="1"/>
    <w:qFormat/>
    <w:uiPriority w:val="0"/>
    <w:pPr>
      <w:widowControl/>
      <w:adjustRightInd w:val="0"/>
      <w:snapToGrid w:val="0"/>
      <w:spacing w:beforeLines="100" w:line="360" w:lineRule="auto"/>
      <w:ind w:firstLine="200" w:firstLineChars="200"/>
    </w:pPr>
    <w:rPr>
      <w:rFonts w:ascii="Times New Roman" w:hAnsi="Times New Roman"/>
      <w:b/>
      <w:szCs w:val="21"/>
    </w:rPr>
  </w:style>
  <w:style w:type="character" w:customStyle="1" w:styleId="63">
    <w:name w:val="正文文本缩进 Char"/>
    <w:basedOn w:val="37"/>
    <w:link w:val="14"/>
    <w:qFormat/>
    <w:uiPriority w:val="0"/>
    <w:rPr>
      <w:rFonts w:ascii="Times New Roman" w:hAnsi="Times New Roman" w:eastAsia="宋体" w:cs="Times New Roman"/>
      <w:szCs w:val="24"/>
    </w:rPr>
  </w:style>
  <w:style w:type="character" w:customStyle="1" w:styleId="64">
    <w:name w:val="正文首行缩进 2 Char"/>
    <w:basedOn w:val="63"/>
    <w:link w:val="34"/>
    <w:qFormat/>
    <w:uiPriority w:val="0"/>
    <w:rPr>
      <w:rFonts w:ascii="Times New Roman" w:hAnsi="Times New Roman" w:eastAsia="宋体" w:cs="Times New Roman"/>
      <w:szCs w:val="24"/>
    </w:rPr>
  </w:style>
  <w:style w:type="character" w:customStyle="1" w:styleId="65">
    <w:name w:val="Footer-Even Char Char"/>
    <w:qFormat/>
    <w:uiPriority w:val="0"/>
    <w:rPr>
      <w:rFonts w:eastAsia="宋体"/>
      <w:kern w:val="2"/>
      <w:sz w:val="18"/>
      <w:lang w:val="en-US" w:eastAsia="zh-CN" w:bidi="ar-SA"/>
    </w:rPr>
  </w:style>
  <w:style w:type="character" w:customStyle="1" w:styleId="66">
    <w:name w:val="图表标题 Char"/>
    <w:basedOn w:val="37"/>
    <w:link w:val="67"/>
    <w:qFormat/>
    <w:uiPriority w:val="0"/>
    <w:rPr>
      <w:rFonts w:ascii="Arial" w:hAnsi="Arial" w:eastAsia="黑体" w:cs="Arial"/>
      <w:b/>
      <w:sz w:val="24"/>
      <w:szCs w:val="24"/>
    </w:rPr>
  </w:style>
  <w:style w:type="paragraph" w:customStyle="1" w:styleId="67">
    <w:name w:val="图表标题"/>
    <w:basedOn w:val="10"/>
    <w:link w:val="66"/>
    <w:qFormat/>
    <w:uiPriority w:val="0"/>
    <w:pPr>
      <w:spacing w:line="600" w:lineRule="exact"/>
      <w:jc w:val="center"/>
    </w:pPr>
    <w:rPr>
      <w:b/>
      <w:sz w:val="24"/>
      <w:szCs w:val="24"/>
    </w:rPr>
  </w:style>
  <w:style w:type="character" w:customStyle="1" w:styleId="68">
    <w:name w:val="font31"/>
    <w:basedOn w:val="37"/>
    <w:qFormat/>
    <w:uiPriority w:val="0"/>
    <w:rPr>
      <w:rFonts w:hint="eastAsia" w:ascii="宋体" w:hAnsi="宋体" w:eastAsia="宋体"/>
      <w:color w:val="000000"/>
      <w:sz w:val="18"/>
      <w:szCs w:val="18"/>
      <w:u w:val="none"/>
    </w:rPr>
  </w:style>
  <w:style w:type="character" w:customStyle="1" w:styleId="69">
    <w:name w:val="apple-converted-space"/>
    <w:basedOn w:val="37"/>
    <w:qFormat/>
    <w:uiPriority w:val="0"/>
    <w:rPr>
      <w:rFonts w:ascii="仿宋_GB2312" w:eastAsia="仿宋_GB2312"/>
      <w:b/>
      <w:sz w:val="32"/>
      <w:szCs w:val="32"/>
    </w:rPr>
  </w:style>
  <w:style w:type="character" w:customStyle="1" w:styleId="70">
    <w:name w:val="样式 标题 4 + (西文) Times New Roman (中文) 宋体 Char"/>
    <w:basedOn w:val="51"/>
    <w:link w:val="71"/>
    <w:qFormat/>
    <w:uiPriority w:val="0"/>
    <w:rPr>
      <w:rFonts w:ascii="Arial" w:hAnsi="Arial" w:eastAsia="黑体" w:cs="Times New Roman"/>
      <w:color w:val="000000"/>
      <w:sz w:val="24"/>
      <w:szCs w:val="24"/>
    </w:rPr>
  </w:style>
  <w:style w:type="paragraph" w:customStyle="1" w:styleId="71">
    <w:name w:val="样式 标题 4 + (西文) Times New Roman (中文) 宋体"/>
    <w:basedOn w:val="6"/>
    <w:link w:val="70"/>
    <w:qFormat/>
    <w:uiPriority w:val="0"/>
    <w:pPr>
      <w:adjustRightInd w:val="0"/>
      <w:snapToGrid w:val="0"/>
      <w:spacing w:line="377" w:lineRule="auto"/>
      <w:ind w:firstLine="200" w:firstLineChars="200"/>
    </w:pPr>
    <w:rPr>
      <w:color w:val="000000"/>
      <w:sz w:val="24"/>
      <w:szCs w:val="24"/>
    </w:rPr>
  </w:style>
  <w:style w:type="character" w:customStyle="1" w:styleId="72">
    <w:name w:val="Char Char"/>
    <w:qFormat/>
    <w:uiPriority w:val="0"/>
    <w:rPr>
      <w:rFonts w:ascii="Arial" w:hAnsi="Arial" w:eastAsia="黑体"/>
      <w:b/>
      <w:bCs/>
      <w:kern w:val="2"/>
      <w:sz w:val="28"/>
      <w:szCs w:val="28"/>
      <w:lang w:bidi="ar-SA"/>
    </w:rPr>
  </w:style>
  <w:style w:type="character" w:customStyle="1" w:styleId="73">
    <w:name w:val="font11"/>
    <w:basedOn w:val="37"/>
    <w:qFormat/>
    <w:uiPriority w:val="0"/>
    <w:rPr>
      <w:rFonts w:hint="eastAsia" w:ascii="宋体" w:hAnsi="宋体" w:eastAsia="宋体"/>
      <w:color w:val="000000"/>
      <w:sz w:val="24"/>
      <w:szCs w:val="24"/>
      <w:u w:val="none"/>
    </w:rPr>
  </w:style>
  <w:style w:type="character" w:customStyle="1" w:styleId="74">
    <w:name w:val="样式 (西文) 仿宋_GB2312 (中文) 仿宋_GB2312 黑色 Char"/>
    <w:qFormat/>
    <w:uiPriority w:val="0"/>
    <w:rPr>
      <w:rFonts w:ascii="仿宋_GB2312" w:eastAsia="仿宋_GB2312"/>
      <w:color w:val="000000"/>
      <w:kern w:val="2"/>
      <w:sz w:val="28"/>
      <w:szCs w:val="24"/>
      <w:lang w:val="en-US" w:eastAsia="zh-CN" w:bidi="ar-SA"/>
    </w:rPr>
  </w:style>
  <w:style w:type="character" w:customStyle="1" w:styleId="75">
    <w:name w:val="ca-31"/>
    <w:basedOn w:val="37"/>
    <w:qFormat/>
    <w:uiPriority w:val="0"/>
    <w:rPr>
      <w:rFonts w:hint="eastAsia" w:ascii="仿宋_GB2312" w:eastAsia="仿宋_GB2312"/>
      <w:b/>
      <w:sz w:val="32"/>
      <w:szCs w:val="32"/>
    </w:rPr>
  </w:style>
  <w:style w:type="character" w:customStyle="1" w:styleId="76">
    <w:name w:val="Char Char2"/>
    <w:qFormat/>
    <w:uiPriority w:val="0"/>
    <w:rPr>
      <w:rFonts w:ascii="Arial" w:hAnsi="Arial" w:eastAsia="黑体"/>
      <w:b/>
      <w:bCs/>
      <w:kern w:val="2"/>
      <w:sz w:val="32"/>
      <w:szCs w:val="32"/>
      <w:lang w:bidi="ar-SA"/>
    </w:rPr>
  </w:style>
  <w:style w:type="character" w:customStyle="1" w:styleId="77">
    <w:name w:val="font21"/>
    <w:basedOn w:val="37"/>
    <w:qFormat/>
    <w:uiPriority w:val="0"/>
    <w:rPr>
      <w:rFonts w:hint="default" w:ascii="Times New Roman" w:hAnsi="Times New Roman" w:eastAsia="仿宋_GB2312" w:cs="Times New Roman"/>
      <w:color w:val="000000"/>
      <w:sz w:val="18"/>
      <w:szCs w:val="18"/>
      <w:u w:val="none"/>
    </w:rPr>
  </w:style>
  <w:style w:type="character" w:customStyle="1" w:styleId="78">
    <w:name w:val="表格 Char"/>
    <w:basedOn w:val="37"/>
    <w:link w:val="79"/>
    <w:qFormat/>
    <w:uiPriority w:val="0"/>
    <w:rPr>
      <w:rFonts w:ascii="Arial" w:hAnsi="Arial" w:cs="Arial"/>
      <w:b/>
      <w:szCs w:val="21"/>
    </w:rPr>
  </w:style>
  <w:style w:type="paragraph" w:customStyle="1" w:styleId="79">
    <w:name w:val="表格"/>
    <w:basedOn w:val="1"/>
    <w:link w:val="78"/>
    <w:qFormat/>
    <w:uiPriority w:val="0"/>
    <w:pPr>
      <w:jc w:val="center"/>
    </w:pPr>
    <w:rPr>
      <w:rFonts w:ascii="Arial" w:hAnsi="Arial" w:cs="Arial"/>
      <w:b/>
      <w:szCs w:val="21"/>
    </w:rPr>
  </w:style>
  <w:style w:type="character" w:customStyle="1" w:styleId="80">
    <w:name w:val="正文＋黑体 Char"/>
    <w:basedOn w:val="37"/>
    <w:link w:val="81"/>
    <w:qFormat/>
    <w:uiPriority w:val="0"/>
    <w:rPr>
      <w:rFonts w:ascii="Arial" w:hAnsi="Arial" w:eastAsia="黑体"/>
      <w:b/>
      <w:sz w:val="24"/>
      <w:szCs w:val="24"/>
    </w:rPr>
  </w:style>
  <w:style w:type="paragraph" w:customStyle="1" w:styleId="81">
    <w:name w:val="正文＋黑体"/>
    <w:basedOn w:val="1"/>
    <w:link w:val="80"/>
    <w:qFormat/>
    <w:uiPriority w:val="0"/>
    <w:pPr>
      <w:spacing w:beforeLines="50" w:afterLines="50"/>
      <w:ind w:firstLine="480" w:firstLineChars="200"/>
    </w:pPr>
    <w:rPr>
      <w:rFonts w:ascii="Arial" w:hAnsi="Arial" w:eastAsia="黑体"/>
      <w:b/>
      <w:sz w:val="24"/>
      <w:szCs w:val="24"/>
    </w:rPr>
  </w:style>
  <w:style w:type="paragraph" w:customStyle="1" w:styleId="82">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3">
    <w:name w:val="Char1"/>
    <w:basedOn w:val="1"/>
    <w:qFormat/>
    <w:uiPriority w:val="0"/>
    <w:rPr>
      <w:rFonts w:ascii="仿宋_GB2312" w:hAnsi="Times New Roman" w:eastAsia="仿宋_GB2312"/>
      <w:b/>
      <w:sz w:val="32"/>
      <w:szCs w:val="32"/>
    </w:rPr>
  </w:style>
  <w:style w:type="character" w:customStyle="1" w:styleId="84">
    <w:name w:val="批注文字 Char"/>
    <w:basedOn w:val="37"/>
    <w:link w:val="12"/>
    <w:qFormat/>
    <w:uiPriority w:val="0"/>
    <w:rPr>
      <w:rFonts w:ascii="Times New Roman" w:hAnsi="Times New Roman" w:eastAsia="宋体" w:cs="Times New Roman"/>
      <w:szCs w:val="24"/>
    </w:rPr>
  </w:style>
  <w:style w:type="character" w:customStyle="1" w:styleId="85">
    <w:name w:val="批注主题 Char"/>
    <w:basedOn w:val="84"/>
    <w:link w:val="33"/>
    <w:qFormat/>
    <w:uiPriority w:val="0"/>
    <w:rPr>
      <w:rFonts w:ascii="Times New Roman" w:hAnsi="Times New Roman" w:eastAsia="宋体" w:cs="Times New Roman"/>
      <w:b/>
      <w:bCs/>
      <w:szCs w:val="20"/>
    </w:rPr>
  </w:style>
  <w:style w:type="paragraph" w:customStyle="1" w:styleId="86">
    <w:name w:val="xl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87">
    <w:name w:val="标题3"/>
    <w:basedOn w:val="1"/>
    <w:next w:val="88"/>
    <w:qFormat/>
    <w:uiPriority w:val="0"/>
    <w:pPr>
      <w:adjustRightInd w:val="0"/>
      <w:spacing w:before="120" w:line="340" w:lineRule="atLeast"/>
      <w:ind w:firstLine="567"/>
      <w:jc w:val="left"/>
      <w:textAlignment w:val="baseline"/>
    </w:pPr>
    <w:rPr>
      <w:rFonts w:ascii="Times New Roman" w:hAnsi="Times New Roman"/>
      <w:color w:val="000080"/>
      <w:spacing w:val="6"/>
      <w:kern w:val="21"/>
      <w:sz w:val="28"/>
      <w:szCs w:val="20"/>
    </w:rPr>
  </w:style>
  <w:style w:type="paragraph" w:customStyle="1" w:styleId="88">
    <w:name w:val="标题4"/>
    <w:basedOn w:val="1"/>
    <w:next w:val="89"/>
    <w:qFormat/>
    <w:uiPriority w:val="0"/>
    <w:pPr>
      <w:adjustRightInd w:val="0"/>
      <w:spacing w:before="120" w:line="360" w:lineRule="atLeast"/>
      <w:ind w:firstLine="851"/>
      <w:jc w:val="left"/>
      <w:textAlignment w:val="baseline"/>
    </w:pPr>
    <w:rPr>
      <w:rFonts w:ascii="Times New Roman" w:hAnsi="Times New Roman"/>
      <w:spacing w:val="6"/>
      <w:kern w:val="21"/>
      <w:sz w:val="28"/>
      <w:szCs w:val="20"/>
    </w:rPr>
  </w:style>
  <w:style w:type="paragraph" w:customStyle="1" w:styleId="89">
    <w:name w:val="标题5"/>
    <w:basedOn w:val="1"/>
    <w:qFormat/>
    <w:uiPriority w:val="0"/>
    <w:pPr>
      <w:adjustRightInd w:val="0"/>
      <w:spacing w:before="120" w:line="440" w:lineRule="atLeast"/>
      <w:ind w:firstLine="851"/>
      <w:jc w:val="left"/>
      <w:textAlignment w:val="baseline"/>
    </w:pPr>
    <w:rPr>
      <w:rFonts w:ascii="Times New Roman" w:hAnsi="Times New Roman"/>
      <w:color w:val="0000FF"/>
      <w:spacing w:val="6"/>
      <w:kern w:val="24"/>
      <w:sz w:val="24"/>
      <w:szCs w:val="20"/>
    </w:rPr>
  </w:style>
  <w:style w:type="paragraph" w:customStyle="1" w:styleId="90">
    <w:name w:val="样式 标题 2 + 楷体_GB2312 段前: 0 磅 段后: 0 磅 行距: 固定值 29 磅"/>
    <w:basedOn w:val="3"/>
    <w:qFormat/>
    <w:uiPriority w:val="0"/>
    <w:pPr>
      <w:keepNext/>
      <w:keepLines/>
      <w:widowControl w:val="0"/>
      <w:spacing w:beforeLines="0" w:afterLines="0" w:line="580" w:lineRule="exact"/>
      <w:ind w:firstLine="630" w:firstLineChars="196"/>
      <w:jc w:val="both"/>
    </w:pPr>
    <w:rPr>
      <w:rFonts w:ascii="楷体_GB2312" w:hAnsi="楷体_GB2312" w:eastAsia="楷体_GB2312" w:cs="宋体"/>
      <w:szCs w:val="20"/>
    </w:rPr>
  </w:style>
  <w:style w:type="character" w:customStyle="1" w:styleId="91">
    <w:name w:val="正文文本 Char"/>
    <w:basedOn w:val="37"/>
    <w:link w:val="13"/>
    <w:qFormat/>
    <w:uiPriority w:val="0"/>
    <w:rPr>
      <w:rFonts w:ascii="Times New Roman" w:hAnsi="Times New Roman" w:eastAsia="宋体" w:cs="Times New Roman"/>
      <w:szCs w:val="20"/>
    </w:rPr>
  </w:style>
  <w:style w:type="paragraph" w:customStyle="1" w:styleId="92">
    <w:name w:val="xl58"/>
    <w:basedOn w:val="1"/>
    <w:qFormat/>
    <w:uiPriority w:val="0"/>
    <w:pPr>
      <w:widowControl/>
      <w:pBdr>
        <w:bottom w:val="single" w:color="auto" w:sz="4" w:space="0"/>
      </w:pBdr>
      <w:spacing w:before="100" w:beforeAutospacing="1" w:after="100" w:afterAutospacing="1"/>
      <w:jc w:val="center"/>
      <w:textAlignment w:val="top"/>
    </w:pPr>
    <w:rPr>
      <w:rFonts w:ascii="Times New Roman" w:hAnsi="Times New Roman" w:eastAsia="Arial Unicode MS"/>
      <w:kern w:val="0"/>
      <w:sz w:val="20"/>
      <w:szCs w:val="20"/>
    </w:rPr>
  </w:style>
  <w:style w:type="paragraph" w:customStyle="1" w:styleId="9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94">
    <w:name w:val="xl59"/>
    <w:basedOn w:val="1"/>
    <w:qFormat/>
    <w:uiPriority w:val="0"/>
    <w:pPr>
      <w:widowControl/>
      <w:pBdr>
        <w:left w:val="single" w:color="auto" w:sz="4" w:space="0"/>
        <w:bottom w:val="single" w:color="auto" w:sz="4" w:space="0"/>
      </w:pBdr>
      <w:spacing w:before="100" w:beforeAutospacing="1" w:after="100" w:afterAutospacing="1"/>
      <w:jc w:val="center"/>
      <w:textAlignment w:val="top"/>
    </w:pPr>
    <w:rPr>
      <w:rFonts w:ascii="Times New Roman" w:hAnsi="Times New Roman" w:eastAsia="Arial Unicode MS"/>
      <w:kern w:val="0"/>
      <w:sz w:val="20"/>
      <w:szCs w:val="20"/>
    </w:rPr>
  </w:style>
  <w:style w:type="character" w:customStyle="1" w:styleId="95">
    <w:name w:val="纯文本 Char"/>
    <w:basedOn w:val="37"/>
    <w:link w:val="18"/>
    <w:qFormat/>
    <w:uiPriority w:val="0"/>
    <w:rPr>
      <w:rFonts w:ascii="宋体" w:hAnsi="Courier New" w:eastAsia="宋体" w:cs="Times New Roman"/>
      <w:szCs w:val="20"/>
    </w:rPr>
  </w:style>
  <w:style w:type="paragraph" w:customStyle="1" w:styleId="96">
    <w:name w:val="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7">
    <w:name w:val="_Style 9"/>
    <w:basedOn w:val="2"/>
    <w:qFormat/>
    <w:uiPriority w:val="0"/>
    <w:pPr>
      <w:keepNext/>
      <w:keepLines/>
      <w:widowControl w:val="0"/>
      <w:snapToGrid w:val="0"/>
      <w:spacing w:line="348" w:lineRule="auto"/>
    </w:pPr>
    <w:rPr>
      <w:rFonts w:eastAsia="仿宋_GB2312"/>
      <w:kern w:val="44"/>
      <w:sz w:val="44"/>
    </w:rPr>
  </w:style>
  <w:style w:type="character" w:customStyle="1" w:styleId="98">
    <w:name w:val="批注框文本 Char"/>
    <w:basedOn w:val="37"/>
    <w:link w:val="22"/>
    <w:qFormat/>
    <w:uiPriority w:val="0"/>
    <w:rPr>
      <w:rFonts w:ascii="Times New Roman" w:hAnsi="Times New Roman" w:eastAsia="宋体" w:cs="Times New Roman"/>
      <w:sz w:val="18"/>
      <w:szCs w:val="18"/>
    </w:rPr>
  </w:style>
  <w:style w:type="character" w:customStyle="1" w:styleId="99">
    <w:name w:val="日期 Char"/>
    <w:basedOn w:val="37"/>
    <w:link w:val="20"/>
    <w:qFormat/>
    <w:uiPriority w:val="0"/>
    <w:rPr>
      <w:rFonts w:ascii="Times New Roman" w:hAnsi="Times New Roman" w:eastAsia="宋体" w:cs="Times New Roman"/>
      <w:szCs w:val="20"/>
    </w:rPr>
  </w:style>
  <w:style w:type="character" w:customStyle="1" w:styleId="100">
    <w:name w:val="正文文本缩进 2 Char"/>
    <w:basedOn w:val="37"/>
    <w:link w:val="21"/>
    <w:qFormat/>
    <w:uiPriority w:val="0"/>
    <w:rPr>
      <w:rFonts w:ascii="Times New Roman" w:hAnsi="Times New Roman" w:eastAsia="宋体" w:cs="Times New Roman"/>
      <w:szCs w:val="20"/>
    </w:rPr>
  </w:style>
  <w:style w:type="character" w:customStyle="1" w:styleId="101">
    <w:name w:val="HTML 预设格式 Char"/>
    <w:basedOn w:val="37"/>
    <w:link w:val="30"/>
    <w:qFormat/>
    <w:uiPriority w:val="0"/>
    <w:rPr>
      <w:rFonts w:ascii="宋体" w:hAnsi="宋体" w:eastAsia="宋体" w:cs="宋体"/>
      <w:kern w:val="0"/>
      <w:sz w:val="24"/>
      <w:szCs w:val="24"/>
    </w:rPr>
  </w:style>
  <w:style w:type="character" w:customStyle="1" w:styleId="102">
    <w:name w:val="正文文本缩进 3 Char"/>
    <w:basedOn w:val="37"/>
    <w:link w:val="27"/>
    <w:qFormat/>
    <w:uiPriority w:val="0"/>
    <w:rPr>
      <w:rFonts w:ascii="宋体" w:hAnsi="Times New Roman" w:eastAsia="宋体" w:cs="Times New Roman"/>
      <w:sz w:val="24"/>
      <w:szCs w:val="20"/>
    </w:rPr>
  </w:style>
  <w:style w:type="character" w:customStyle="1" w:styleId="103">
    <w:name w:val="标题 Char"/>
    <w:basedOn w:val="37"/>
    <w:link w:val="32"/>
    <w:qFormat/>
    <w:uiPriority w:val="0"/>
    <w:rPr>
      <w:rFonts w:ascii="Arial" w:hAnsi="Arial" w:eastAsia="宋体" w:cs="Arial"/>
      <w:b/>
      <w:bCs/>
      <w:sz w:val="32"/>
      <w:szCs w:val="32"/>
    </w:rPr>
  </w:style>
  <w:style w:type="paragraph" w:customStyle="1" w:styleId="104">
    <w:name w:val="xl101"/>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Cs w:val="21"/>
    </w:rPr>
  </w:style>
  <w:style w:type="paragraph" w:customStyle="1" w:styleId="105">
    <w:name w:val="_Style 18"/>
    <w:basedOn w:val="1"/>
    <w:qFormat/>
    <w:uiPriority w:val="0"/>
    <w:pPr>
      <w:widowControl/>
      <w:spacing w:after="160" w:line="240" w:lineRule="exact"/>
      <w:jc w:val="left"/>
    </w:pPr>
    <w:rPr>
      <w:rFonts w:ascii="Times New Roman" w:hAnsi="Times New Roman" w:eastAsia="仿宋_GB2312"/>
      <w:sz w:val="32"/>
      <w:szCs w:val="24"/>
    </w:rPr>
  </w:style>
  <w:style w:type="paragraph" w:customStyle="1" w:styleId="10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07">
    <w:name w:val="xl105"/>
    <w:basedOn w:val="1"/>
    <w:qFormat/>
    <w:uiPriority w:val="0"/>
    <w:pPr>
      <w:widowControl/>
      <w:pBdr>
        <w:top w:val="single" w:color="auto" w:sz="8" w:space="0"/>
        <w:bottom w:val="single" w:color="auto" w:sz="8" w:space="0"/>
        <w:right w:val="single" w:color="auto" w:sz="4" w:space="0"/>
      </w:pBdr>
      <w:spacing w:before="100" w:beforeAutospacing="1" w:after="100" w:afterAutospacing="1"/>
      <w:jc w:val="center"/>
    </w:pPr>
    <w:rPr>
      <w:rFonts w:ascii="Arial Narrow" w:hAnsi="Arial Narrow" w:cs="宋体"/>
      <w:kern w:val="0"/>
      <w:szCs w:val="21"/>
    </w:rPr>
  </w:style>
  <w:style w:type="paragraph" w:customStyle="1" w:styleId="108">
    <w:name w:val="xl46"/>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Times New Roman" w:hAnsi="Times New Roman" w:eastAsia="Arial Unicode MS"/>
      <w:kern w:val="0"/>
      <w:sz w:val="20"/>
      <w:szCs w:val="20"/>
    </w:rPr>
  </w:style>
  <w:style w:type="paragraph" w:customStyle="1" w:styleId="109">
    <w:name w:val="font5"/>
    <w:basedOn w:val="1"/>
    <w:qFormat/>
    <w:uiPriority w:val="0"/>
    <w:pPr>
      <w:widowControl/>
      <w:spacing w:before="100" w:beforeAutospacing="1" w:after="100" w:afterAutospacing="1"/>
      <w:jc w:val="left"/>
    </w:pPr>
    <w:rPr>
      <w:rFonts w:ascii="Times New Roman" w:hAnsi="Times New Roman"/>
      <w:kern w:val="0"/>
      <w:szCs w:val="21"/>
    </w:rPr>
  </w:style>
  <w:style w:type="paragraph" w:customStyle="1" w:styleId="110">
    <w:name w:val="font7"/>
    <w:basedOn w:val="1"/>
    <w:qFormat/>
    <w:uiPriority w:val="0"/>
    <w:pPr>
      <w:widowControl/>
      <w:spacing w:before="100" w:beforeAutospacing="1" w:after="100" w:afterAutospacing="1"/>
      <w:jc w:val="left"/>
    </w:pPr>
    <w:rPr>
      <w:rFonts w:ascii="Times New Roman" w:hAnsi="Times New Roman"/>
      <w:kern w:val="0"/>
      <w:sz w:val="20"/>
      <w:szCs w:val="20"/>
    </w:rPr>
  </w:style>
  <w:style w:type="paragraph" w:customStyle="1" w:styleId="111">
    <w:name w:val="Char"/>
    <w:basedOn w:val="1"/>
    <w:qFormat/>
    <w:uiPriority w:val="0"/>
    <w:rPr>
      <w:rFonts w:ascii="Times New Roman" w:hAnsi="Times New Roman"/>
      <w:szCs w:val="24"/>
    </w:rPr>
  </w:style>
  <w:style w:type="paragraph" w:customStyle="1" w:styleId="112">
    <w:name w:val="xl26"/>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Cs w:val="21"/>
    </w:rPr>
  </w:style>
  <w:style w:type="paragraph" w:customStyle="1" w:styleId="113">
    <w:name w:val="font0"/>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114">
    <w:name w:val="xl4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Arial Unicode MS"/>
      <w:kern w:val="0"/>
      <w:sz w:val="20"/>
      <w:szCs w:val="20"/>
    </w:rPr>
  </w:style>
  <w:style w:type="paragraph" w:customStyle="1" w:styleId="115">
    <w:name w:val="et6"/>
    <w:basedOn w:val="1"/>
    <w:qFormat/>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16">
    <w:name w:val="xl42"/>
    <w:basedOn w:val="1"/>
    <w:qFormat/>
    <w:uiPriority w:val="0"/>
    <w:pPr>
      <w:widowControl/>
      <w:pBdr>
        <w:left w:val="single" w:color="auto" w:sz="4" w:space="0"/>
        <w:bottom w:val="single" w:color="auto" w:sz="4" w:space="0"/>
      </w:pBdr>
      <w:spacing w:before="100" w:beforeAutospacing="1" w:after="100" w:afterAutospacing="1"/>
      <w:jc w:val="center"/>
      <w:textAlignment w:val="top"/>
    </w:pPr>
    <w:rPr>
      <w:rFonts w:ascii="Times New Roman" w:hAnsi="Times New Roman" w:eastAsia="Arial Unicode MS"/>
      <w:kern w:val="0"/>
      <w:sz w:val="20"/>
      <w:szCs w:val="20"/>
    </w:rPr>
  </w:style>
  <w:style w:type="paragraph" w:customStyle="1" w:styleId="117">
    <w:name w:val="xl5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18">
    <w:name w:val="样式 标题5 + 黑体 小四 行距: 固定值 13 磅"/>
    <w:basedOn w:val="89"/>
    <w:qFormat/>
    <w:uiPriority w:val="0"/>
    <w:pPr>
      <w:adjustRightInd/>
      <w:spacing w:before="0" w:line="260" w:lineRule="exact"/>
      <w:ind w:left="126" w:leftChars="60" w:firstLine="0"/>
      <w:jc w:val="both"/>
      <w:textAlignment w:val="auto"/>
    </w:pPr>
    <w:rPr>
      <w:rFonts w:ascii="黑体" w:cs="宋体"/>
      <w:color w:val="auto"/>
      <w:sz w:val="28"/>
    </w:rPr>
  </w:style>
  <w:style w:type="paragraph" w:customStyle="1" w:styleId="119">
    <w:name w:val="标题2"/>
    <w:basedOn w:val="1"/>
    <w:next w:val="87"/>
    <w:qFormat/>
    <w:uiPriority w:val="0"/>
    <w:pPr>
      <w:adjustRightInd w:val="0"/>
      <w:spacing w:before="120" w:line="340" w:lineRule="atLeast"/>
      <w:jc w:val="center"/>
      <w:textAlignment w:val="baseline"/>
    </w:pPr>
    <w:rPr>
      <w:rFonts w:ascii="Times New Roman" w:hAnsi="Times New Roman"/>
      <w:color w:val="000000"/>
      <w:spacing w:val="6"/>
      <w:kern w:val="21"/>
      <w:sz w:val="30"/>
      <w:szCs w:val="20"/>
    </w:rPr>
  </w:style>
  <w:style w:type="paragraph" w:customStyle="1" w:styleId="1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21">
    <w:name w:val="et11"/>
    <w:basedOn w:val="1"/>
    <w:qFormat/>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22">
    <w:name w:val="xl2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23">
    <w:name w:val="Char Char Char Char Char Char1 Char Char Char1 Char Char Char1 Char Char Char Char Char Char Char Char Char Char"/>
    <w:basedOn w:val="1"/>
    <w:next w:val="1"/>
    <w:qFormat/>
    <w:uiPriority w:val="0"/>
    <w:pPr>
      <w:spacing w:line="360" w:lineRule="auto"/>
      <w:ind w:firstLine="200" w:firstLineChars="200"/>
    </w:pPr>
    <w:rPr>
      <w:rFonts w:ascii="宋体" w:hAnsi="宋体" w:cs="宋体"/>
      <w:sz w:val="24"/>
      <w:szCs w:val="24"/>
    </w:rPr>
  </w:style>
  <w:style w:type="paragraph" w:customStyle="1" w:styleId="124">
    <w:name w:val="et4"/>
    <w:basedOn w:val="1"/>
    <w:qFormat/>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25">
    <w:name w:val="Char Char Char Char Char Char1 Char"/>
    <w:basedOn w:val="1"/>
    <w:qFormat/>
    <w:uiPriority w:val="0"/>
    <w:pPr>
      <w:widowControl/>
      <w:spacing w:after="160" w:line="240" w:lineRule="exact"/>
      <w:jc w:val="left"/>
    </w:pPr>
    <w:rPr>
      <w:rFonts w:ascii="Times New Roman" w:hAnsi="Times New Roman"/>
      <w:szCs w:val="24"/>
    </w:rPr>
  </w:style>
  <w:style w:type="paragraph" w:customStyle="1" w:styleId="126">
    <w:name w:val="xl44"/>
    <w:basedOn w:val="1"/>
    <w:qFormat/>
    <w:uiPriority w:val="0"/>
    <w:pPr>
      <w:widowControl/>
      <w:pBdr>
        <w:bottom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0"/>
      <w:szCs w:val="20"/>
    </w:rPr>
  </w:style>
  <w:style w:type="paragraph" w:customStyle="1" w:styleId="127">
    <w:name w:val="xl100"/>
    <w:basedOn w:val="1"/>
    <w:qFormat/>
    <w:uiPriority w:val="0"/>
    <w:pPr>
      <w:widowControl/>
      <w:pBdr>
        <w:bottom w:val="single" w:color="auto" w:sz="8" w:space="0"/>
        <w:right w:val="single" w:color="auto" w:sz="8" w:space="0"/>
      </w:pBdr>
      <w:spacing w:before="100" w:beforeAutospacing="1" w:after="100" w:afterAutospacing="1"/>
      <w:jc w:val="center"/>
    </w:pPr>
    <w:rPr>
      <w:rFonts w:ascii="Arial Narrow" w:hAnsi="Arial Narrow" w:cs="宋体"/>
      <w:kern w:val="0"/>
      <w:szCs w:val="21"/>
    </w:rPr>
  </w:style>
  <w:style w:type="paragraph" w:customStyle="1" w:styleId="128">
    <w:name w:val="xl48"/>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kern w:val="0"/>
      <w:sz w:val="18"/>
      <w:szCs w:val="18"/>
    </w:rPr>
  </w:style>
  <w:style w:type="paragraph" w:customStyle="1" w:styleId="129">
    <w:name w:val="xl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30">
    <w:name w:val="xl4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31">
    <w:name w:val="font8"/>
    <w:basedOn w:val="1"/>
    <w:qFormat/>
    <w:uiPriority w:val="0"/>
    <w:pPr>
      <w:widowControl/>
      <w:spacing w:before="100" w:beforeAutospacing="1" w:after="100" w:afterAutospacing="1"/>
      <w:jc w:val="left"/>
    </w:pPr>
    <w:rPr>
      <w:rFonts w:ascii="Times New Roman" w:hAnsi="Times New Roman" w:eastAsia="Arial Unicode MS"/>
      <w:kern w:val="0"/>
      <w:sz w:val="20"/>
      <w:szCs w:val="20"/>
    </w:rPr>
  </w:style>
  <w:style w:type="paragraph" w:customStyle="1" w:styleId="13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33">
    <w:name w:val="album-div1"/>
    <w:basedOn w:val="1"/>
    <w:qFormat/>
    <w:uiPriority w:val="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13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35">
    <w:name w:val="et3"/>
    <w:basedOn w:val="1"/>
    <w:qFormat/>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3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137">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38">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16"/>
      <w:szCs w:val="16"/>
    </w:rPr>
  </w:style>
  <w:style w:type="paragraph" w:customStyle="1" w:styleId="139">
    <w:name w:val="xl10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Arial Narrow" w:hAnsi="Arial Narrow" w:cs="宋体"/>
      <w:kern w:val="0"/>
      <w:szCs w:val="21"/>
    </w:rPr>
  </w:style>
  <w:style w:type="paragraph" w:customStyle="1" w:styleId="140">
    <w:name w:val="xl10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Narrow" w:hAnsi="Arial Narrow" w:cs="宋体"/>
      <w:kern w:val="0"/>
      <w:szCs w:val="21"/>
    </w:rPr>
  </w:style>
  <w:style w:type="paragraph" w:customStyle="1" w:styleId="141">
    <w:name w:val="et9"/>
    <w:basedOn w:val="1"/>
    <w:qFormat/>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42">
    <w:name w:val="xl25"/>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43">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16"/>
      <w:szCs w:val="16"/>
    </w:rPr>
  </w:style>
  <w:style w:type="paragraph" w:customStyle="1" w:styleId="144">
    <w:name w:val="xl2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45">
    <w:name w:val="xl56"/>
    <w:basedOn w:val="1"/>
    <w:qFormat/>
    <w:uiPriority w:val="0"/>
    <w:pPr>
      <w:widowControl/>
      <w:pBdr>
        <w:bottom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46">
    <w:name w:val="xl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16"/>
      <w:szCs w:val="16"/>
    </w:rPr>
  </w:style>
  <w:style w:type="paragraph" w:customStyle="1" w:styleId="147">
    <w:name w:val="样式1"/>
    <w:basedOn w:val="1"/>
    <w:qFormat/>
    <w:uiPriority w:val="0"/>
    <w:pPr>
      <w:spacing w:line="579" w:lineRule="exact"/>
      <w:ind w:firstLine="4800" w:firstLineChars="1500"/>
    </w:pPr>
    <w:rPr>
      <w:rFonts w:ascii="方正仿宋简体" w:hAnsi="方正仿宋简体" w:eastAsia="方正仿宋简体" w:cs="方正仿宋简体"/>
      <w:sz w:val="32"/>
      <w:szCs w:val="32"/>
    </w:rPr>
  </w:style>
  <w:style w:type="paragraph" w:customStyle="1" w:styleId="148">
    <w:name w:val="阳江图格式"/>
    <w:basedOn w:val="34"/>
    <w:qFormat/>
    <w:uiPriority w:val="0"/>
    <w:pPr>
      <w:spacing w:after="0"/>
      <w:ind w:left="0" w:leftChars="0"/>
      <w:jc w:val="center"/>
    </w:pPr>
    <w:rPr>
      <w:rFonts w:ascii="华文新魏" w:cs="宋体"/>
      <w:b/>
      <w:szCs w:val="21"/>
    </w:rPr>
  </w:style>
  <w:style w:type="paragraph" w:customStyle="1" w:styleId="149">
    <w:name w:val="xl57"/>
    <w:basedOn w:val="1"/>
    <w:qFormat/>
    <w:uiPriority w:val="0"/>
    <w:pPr>
      <w:widowControl/>
      <w:pBdr>
        <w:left w:val="single" w:color="auto" w:sz="4" w:space="0"/>
        <w:bottom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50">
    <w:name w:val="et5"/>
    <w:basedOn w:val="1"/>
    <w:qFormat/>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51">
    <w:name w:val="xl54"/>
    <w:basedOn w:val="1"/>
    <w:qFormat/>
    <w:uiPriority w:val="0"/>
    <w:pPr>
      <w:widowControl/>
      <w:pBdr>
        <w:top w:val="single" w:color="auto" w:sz="4" w:space="0"/>
        <w:bottom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5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Arial Unicode MS"/>
      <w:kern w:val="0"/>
      <w:sz w:val="20"/>
      <w:szCs w:val="20"/>
    </w:rPr>
  </w:style>
  <w:style w:type="paragraph" w:customStyle="1" w:styleId="153">
    <w:name w:val="xl5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54">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Arial Unicode MS"/>
      <w:kern w:val="0"/>
      <w:sz w:val="18"/>
      <w:szCs w:val="18"/>
    </w:rPr>
  </w:style>
  <w:style w:type="paragraph" w:customStyle="1" w:styleId="155">
    <w:name w:val="表文"/>
    <w:basedOn w:val="1"/>
    <w:qFormat/>
    <w:uiPriority w:val="0"/>
    <w:pPr>
      <w:adjustRightInd w:val="0"/>
      <w:spacing w:before="120" w:line="440" w:lineRule="atLeast"/>
      <w:jc w:val="center"/>
      <w:textAlignment w:val="baseline"/>
    </w:pPr>
    <w:rPr>
      <w:rFonts w:ascii="Times New Roman" w:hAnsi="Times New Roman"/>
      <w:spacing w:val="6"/>
      <w:kern w:val="21"/>
      <w:sz w:val="24"/>
      <w:szCs w:val="20"/>
    </w:rPr>
  </w:style>
  <w:style w:type="paragraph" w:customStyle="1" w:styleId="156">
    <w:name w:val="标题1"/>
    <w:basedOn w:val="1"/>
    <w:next w:val="1"/>
    <w:qFormat/>
    <w:uiPriority w:val="0"/>
    <w:pPr>
      <w:adjustRightInd w:val="0"/>
      <w:spacing w:before="120" w:line="340" w:lineRule="atLeast"/>
      <w:jc w:val="center"/>
      <w:textAlignment w:val="baseline"/>
    </w:pPr>
    <w:rPr>
      <w:rFonts w:ascii="Times New Roman" w:hAnsi="Times New Roman" w:eastAsia="黑体"/>
      <w:color w:val="FF0000"/>
      <w:spacing w:val="6"/>
      <w:kern w:val="21"/>
      <w:sz w:val="36"/>
      <w:szCs w:val="20"/>
    </w:rPr>
  </w:style>
  <w:style w:type="paragraph" w:customStyle="1" w:styleId="157">
    <w:name w:val="Char Char Char Char Char Char1 Char1"/>
    <w:basedOn w:val="1"/>
    <w:qFormat/>
    <w:uiPriority w:val="0"/>
    <w:pPr>
      <w:widowControl/>
      <w:spacing w:after="160" w:line="240" w:lineRule="exact"/>
      <w:jc w:val="left"/>
    </w:pPr>
    <w:rPr>
      <w:rFonts w:ascii="Times New Roman" w:hAnsi="Times New Roman"/>
      <w:szCs w:val="24"/>
    </w:rPr>
  </w:style>
  <w:style w:type="paragraph" w:customStyle="1" w:styleId="158">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60">
    <w:name w:val="xl9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Cs w:val="21"/>
    </w:rPr>
  </w:style>
  <w:style w:type="paragraph" w:customStyle="1" w:styleId="161">
    <w:name w:val="样式 样式 (西文) 仿宋_GB2312 (中文) 仿宋_GB2312 黑色 段前: 0.5 行 行距: 1.5 倍行距 首....."/>
    <w:basedOn w:val="1"/>
    <w:qFormat/>
    <w:uiPriority w:val="0"/>
    <w:pPr>
      <w:adjustRightInd w:val="0"/>
      <w:snapToGrid w:val="0"/>
      <w:spacing w:afterLines="100" w:line="300" w:lineRule="auto"/>
      <w:ind w:firstLine="200" w:firstLineChars="200"/>
    </w:pPr>
    <w:rPr>
      <w:rFonts w:ascii="Times New Roman" w:hAnsi="Times New Roman" w:eastAsia="仿宋_GB2312"/>
      <w:color w:val="000000"/>
      <w:sz w:val="28"/>
      <w:szCs w:val="20"/>
    </w:rPr>
  </w:style>
  <w:style w:type="paragraph" w:customStyle="1" w:styleId="162">
    <w:name w:val="xl104"/>
    <w:basedOn w:val="1"/>
    <w:qFormat/>
    <w:uiPriority w:val="0"/>
    <w:pPr>
      <w:widowControl/>
      <w:pBdr>
        <w:bottom w:val="single" w:color="auto" w:sz="8" w:space="0"/>
        <w:right w:val="single" w:color="auto" w:sz="8" w:space="0"/>
      </w:pBdr>
      <w:spacing w:before="100" w:beforeAutospacing="1" w:after="100" w:afterAutospacing="1"/>
      <w:jc w:val="center"/>
      <w:textAlignment w:val="top"/>
    </w:pPr>
    <w:rPr>
      <w:rFonts w:ascii="Arial Narrow" w:hAnsi="Arial Narrow" w:cs="宋体"/>
      <w:kern w:val="0"/>
      <w:szCs w:val="21"/>
    </w:rPr>
  </w:style>
  <w:style w:type="paragraph" w:customStyle="1" w:styleId="163">
    <w:name w:val="Char Char Char Char Char Char Char"/>
    <w:basedOn w:val="1"/>
    <w:qFormat/>
    <w:uiPriority w:val="0"/>
    <w:pPr>
      <w:snapToGrid w:val="0"/>
      <w:spacing w:line="440" w:lineRule="atLeast"/>
    </w:pPr>
    <w:rPr>
      <w:rFonts w:ascii="宋体" w:hAnsi="Times New Roman"/>
      <w:sz w:val="24"/>
      <w:szCs w:val="24"/>
    </w:rPr>
  </w:style>
  <w:style w:type="paragraph" w:customStyle="1" w:styleId="164">
    <w:name w:val="p15"/>
    <w:basedOn w:val="1"/>
    <w:qFormat/>
    <w:uiPriority w:val="0"/>
    <w:pPr>
      <w:widowControl/>
      <w:spacing w:before="100" w:after="100"/>
      <w:jc w:val="left"/>
    </w:pPr>
    <w:rPr>
      <w:rFonts w:ascii="宋体" w:hAnsi="宋体" w:cs="宋体"/>
      <w:kern w:val="0"/>
      <w:sz w:val="24"/>
      <w:szCs w:val="24"/>
    </w:rPr>
  </w:style>
  <w:style w:type="paragraph" w:customStyle="1" w:styleId="165">
    <w:name w:val="xl17"/>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66">
    <w:name w:val="xl47"/>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kern w:val="0"/>
      <w:sz w:val="18"/>
      <w:szCs w:val="18"/>
    </w:rPr>
  </w:style>
  <w:style w:type="paragraph" w:customStyle="1" w:styleId="167">
    <w:name w:val="xl5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68">
    <w:name w:val="et1"/>
    <w:basedOn w:val="1"/>
    <w:uiPriority w:val="0"/>
    <w:pPr>
      <w:widowControl/>
      <w:spacing w:before="100" w:beforeAutospacing="1" w:after="100" w:afterAutospacing="1"/>
      <w:jc w:val="left"/>
      <w:textAlignment w:val="bottom"/>
    </w:pPr>
    <w:rPr>
      <w:rFonts w:ascii="宋体" w:hAnsi="宋体" w:cs="宋体"/>
      <w:color w:val="000000"/>
      <w:kern w:val="0"/>
      <w:sz w:val="20"/>
      <w:szCs w:val="20"/>
    </w:rPr>
  </w:style>
  <w:style w:type="paragraph" w:customStyle="1" w:styleId="169">
    <w:name w:val="样式 标题5"/>
    <w:basedOn w:val="89"/>
    <w:uiPriority w:val="0"/>
    <w:pPr>
      <w:adjustRightInd/>
      <w:spacing w:before="0" w:line="260" w:lineRule="exact"/>
      <w:ind w:left="126" w:leftChars="60" w:firstLine="0"/>
      <w:jc w:val="both"/>
      <w:textAlignment w:val="auto"/>
    </w:pPr>
    <w:rPr>
      <w:rFonts w:ascii="黑体" w:eastAsia="黑体" w:cs="宋体"/>
      <w:color w:val="auto"/>
      <w:sz w:val="28"/>
    </w:rPr>
  </w:style>
  <w:style w:type="paragraph" w:customStyle="1" w:styleId="170">
    <w:name w:val="四级标题"/>
    <w:basedOn w:val="6"/>
    <w:qFormat/>
    <w:uiPriority w:val="0"/>
    <w:pPr>
      <w:adjustRightInd w:val="0"/>
      <w:snapToGrid w:val="0"/>
      <w:spacing w:before="0" w:after="0" w:line="300" w:lineRule="auto"/>
    </w:pPr>
    <w:rPr>
      <w:rFonts w:ascii="黑体" w:hAnsi="Times New Roman"/>
      <w:b w:val="0"/>
      <w:bCs w:val="0"/>
      <w:color w:val="000000"/>
      <w:sz w:val="24"/>
      <w:szCs w:val="24"/>
    </w:rPr>
  </w:style>
  <w:style w:type="paragraph" w:customStyle="1" w:styleId="171">
    <w:name w:val="et7"/>
    <w:basedOn w:val="1"/>
    <w:uiPriority w:val="0"/>
    <w:pPr>
      <w:widowControl/>
      <w:spacing w:before="100" w:beforeAutospacing="1" w:after="100" w:afterAutospacing="1"/>
      <w:jc w:val="left"/>
      <w:textAlignment w:val="center"/>
    </w:pPr>
    <w:rPr>
      <w:rFonts w:ascii="宋体" w:hAnsi="宋体" w:cs="宋体"/>
      <w:color w:val="000000"/>
      <w:kern w:val="0"/>
      <w:sz w:val="24"/>
      <w:szCs w:val="24"/>
    </w:rPr>
  </w:style>
  <w:style w:type="paragraph" w:customStyle="1" w:styleId="172">
    <w:name w:val="Definition Term"/>
    <w:basedOn w:val="1"/>
    <w:next w:val="1"/>
    <w:uiPriority w:val="0"/>
    <w:pPr>
      <w:autoSpaceDE w:val="0"/>
      <w:autoSpaceDN w:val="0"/>
      <w:adjustRightInd w:val="0"/>
      <w:jc w:val="left"/>
    </w:pPr>
    <w:rPr>
      <w:rFonts w:ascii="Times New Roman" w:hAnsi="Times New Roman"/>
      <w:kern w:val="0"/>
      <w:sz w:val="24"/>
      <w:szCs w:val="20"/>
    </w:rPr>
  </w:style>
  <w:style w:type="paragraph" w:customStyle="1" w:styleId="173">
    <w:name w:val="xl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74">
    <w:name w:val="xl106"/>
    <w:basedOn w:val="1"/>
    <w:qFormat/>
    <w:uiPriority w:val="0"/>
    <w:pPr>
      <w:widowControl/>
      <w:pBdr>
        <w:top w:val="single" w:color="auto" w:sz="8" w:space="0"/>
        <w:bottom w:val="single" w:color="auto" w:sz="8" w:space="0"/>
        <w:right w:val="single" w:color="auto" w:sz="4" w:space="0"/>
      </w:pBdr>
      <w:spacing w:before="100" w:beforeAutospacing="1" w:after="100" w:afterAutospacing="1"/>
      <w:jc w:val="center"/>
    </w:pPr>
    <w:rPr>
      <w:rFonts w:ascii="Arial Narrow" w:hAnsi="Arial Narrow" w:cs="宋体"/>
      <w:kern w:val="0"/>
      <w:szCs w:val="21"/>
    </w:rPr>
  </w:style>
  <w:style w:type="paragraph" w:customStyle="1" w:styleId="175">
    <w:name w:val="xl5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Arial Unicode MS"/>
      <w:kern w:val="0"/>
      <w:sz w:val="18"/>
      <w:szCs w:val="18"/>
    </w:rPr>
  </w:style>
  <w:style w:type="paragraph" w:customStyle="1" w:styleId="176">
    <w:name w:val="xl3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77">
    <w:name w:val="xl27"/>
    <w:basedOn w:val="1"/>
    <w:uiPriority w:val="0"/>
    <w:pPr>
      <w:widowControl/>
      <w:pBdr>
        <w:left w:val="single" w:color="auto" w:sz="4" w:space="0"/>
        <w:bottom w:val="single" w:color="auto" w:sz="4"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6"/>
      <w:szCs w:val="16"/>
    </w:rPr>
  </w:style>
  <w:style w:type="paragraph" w:customStyle="1" w:styleId="179">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180">
    <w:name w:val="xl2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181">
    <w:name w:val="Normal_0"/>
    <w:qFormat/>
    <w:uiPriority w:val="0"/>
    <w:pPr>
      <w:spacing w:before="120" w:after="240"/>
      <w:jc w:val="both"/>
    </w:pPr>
    <w:rPr>
      <w:rFonts w:ascii="Calibri" w:hAnsi="Calibri" w:eastAsia="Calibri" w:cs="Times New Roman"/>
      <w:sz w:val="22"/>
      <w:szCs w:val="22"/>
      <w:lang w:val="ru-RU" w:eastAsia="en-US" w:bidi="ar-SA"/>
    </w:rPr>
  </w:style>
  <w:style w:type="paragraph" w:customStyle="1" w:styleId="182">
    <w:name w:val="Normal_1"/>
    <w:qFormat/>
    <w:uiPriority w:val="0"/>
    <w:pPr>
      <w:spacing w:before="120" w:after="240"/>
      <w:jc w:val="both"/>
    </w:pPr>
    <w:rPr>
      <w:rFonts w:ascii="Calibri" w:hAnsi="Calibri" w:eastAsia="Calibri" w:cs="Times New Roman"/>
      <w:sz w:val="22"/>
      <w:szCs w:val="22"/>
      <w:lang w:val="ru-RU" w:eastAsia="en-US" w:bidi="ar-SA"/>
    </w:rPr>
  </w:style>
  <w:style w:type="paragraph" w:customStyle="1" w:styleId="183">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184">
    <w:name w:val="Normal_3"/>
    <w:qFormat/>
    <w:uiPriority w:val="0"/>
    <w:pPr>
      <w:spacing w:before="120" w:after="240"/>
      <w:jc w:val="both"/>
    </w:pPr>
    <w:rPr>
      <w:rFonts w:ascii="Calibri" w:hAnsi="Calibri" w:eastAsia="Calibri" w:cs="Times New Roman"/>
      <w:sz w:val="22"/>
      <w:szCs w:val="22"/>
      <w:lang w:val="ru-RU" w:eastAsia="en-US" w:bidi="ar-SA"/>
    </w:rPr>
  </w:style>
  <w:style w:type="paragraph" w:customStyle="1" w:styleId="185">
    <w:name w:val="列出段落1"/>
    <w:basedOn w:val="1"/>
    <w:qFormat/>
    <w:uiPriority w:val="34"/>
    <w:pPr>
      <w:ind w:firstLine="420" w:firstLineChars="200"/>
    </w:pPr>
  </w:style>
  <w:style w:type="paragraph" w:customStyle="1" w:styleId="186">
    <w:name w:val="para1"/>
    <w:basedOn w:val="1"/>
    <w:qFormat/>
    <w:uiPriority w:val="0"/>
    <w:pPr>
      <w:widowControl/>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yjhb</Company>
  <Pages>41</Pages>
  <Words>19753</Words>
  <Characters>20273</Characters>
  <Lines>155</Lines>
  <Paragraphs>43</Paragraphs>
  <TotalTime>0</TotalTime>
  <ScaleCrop>false</ScaleCrop>
  <LinksUpToDate>false</LinksUpToDate>
  <CharactersWithSpaces>20357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2017-08-28T09:34:00Z</dcterms:created>
  <dc:creator>王淑君</dc:creator>
  <cp:lastModifiedBy>.</cp:lastModifiedBy>
  <cp:lastPrinted>2017-09-20T08:30:00Z</cp:lastPrinted>
  <dcterms:modified xsi:type="dcterms:W3CDTF">2024-12-11T04:07:13Z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3038A60EFBB94D00BDA06B25996FBC0C</vt:lpwstr>
  </property>
</Properties>
</file>