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600" w:lineRule="atLeast"/>
        <w:ind w:right="0"/>
        <w:jc w:val="both"/>
        <w:textAlignment w:val="auto"/>
        <w:rPr>
          <w:rFonts w:hint="eastAsia" w:ascii="宋体" w:hAnsi="宋体" w:eastAsia="宋体" w:cs="宋体"/>
          <w:b w:val="0"/>
          <w:bCs w:val="0"/>
          <w:i w:val="0"/>
          <w:caps w:val="0"/>
          <w:color w:val="auto"/>
          <w:spacing w:val="0"/>
          <w:sz w:val="32"/>
          <w:szCs w:val="32"/>
          <w:u w:val="none"/>
          <w:shd w:val="clear" w:fill="FFFFFF"/>
          <w:lang w:val="en-US" w:eastAsia="zh-CN"/>
        </w:rPr>
      </w:pPr>
      <w:r>
        <w:rPr>
          <w:rFonts w:hint="eastAsia" w:ascii="黑体" w:hAnsi="黑体" w:eastAsia="黑体" w:cs="黑体"/>
          <w:b w:val="0"/>
          <w:bCs w:val="0"/>
          <w:i w:val="0"/>
          <w:caps w:val="0"/>
          <w:color w:val="auto"/>
          <w:spacing w:val="0"/>
          <w:sz w:val="32"/>
          <w:szCs w:val="32"/>
          <w:u w:val="none"/>
          <w:shd w:val="clear" w:fill="FFFFFF"/>
          <w:lang w:val="en-US" w:eastAsia="zh-CN"/>
        </w:rPr>
        <w:t>附件1</w:t>
      </w:r>
      <w:r>
        <w:rPr>
          <w:rFonts w:hint="eastAsia" w:ascii="宋体" w:hAnsi="宋体" w:eastAsia="宋体" w:cs="宋体"/>
          <w:b w:val="0"/>
          <w:bCs w:val="0"/>
          <w:i w:val="0"/>
          <w:caps w:val="0"/>
          <w:color w:val="auto"/>
          <w:spacing w:val="0"/>
          <w:sz w:val="32"/>
          <w:szCs w:val="32"/>
          <w:u w:val="none"/>
          <w:shd w:val="clear" w:fill="FFFFFF"/>
          <w:lang w:val="en-US" w:eastAsia="zh-CN"/>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600" w:lineRule="atLeast"/>
        <w:ind w:right="0"/>
        <w:jc w:val="center"/>
        <w:textAlignment w:val="auto"/>
        <w:rPr>
          <w:rFonts w:hint="eastAsia" w:ascii="方正小标宋简体" w:hAnsi="方正小标宋简体" w:eastAsia="方正小标宋简体" w:cs="方正小标宋简体"/>
          <w:i w:val="0"/>
          <w:caps w:val="0"/>
          <w:color w:val="auto"/>
          <w:spacing w:val="0"/>
          <w:sz w:val="44"/>
          <w:szCs w:val="44"/>
          <w:u w:val="none"/>
          <w:shd w:val="clear" w:fill="FFFFFF"/>
        </w:rPr>
      </w:pPr>
      <w:r>
        <w:rPr>
          <w:rFonts w:hint="eastAsia" w:ascii="方正小标宋简体" w:hAnsi="方正小标宋简体" w:eastAsia="方正小标宋简体" w:cs="方正小标宋简体"/>
          <w:i w:val="0"/>
          <w:caps w:val="0"/>
          <w:color w:val="auto"/>
          <w:spacing w:val="0"/>
          <w:sz w:val="44"/>
          <w:szCs w:val="44"/>
          <w:u w:val="none"/>
          <w:shd w:val="clear" w:fill="FFFFFF"/>
          <w:lang w:val="en-US" w:eastAsia="zh-CN"/>
        </w:rPr>
        <w:t>阳江市高新区消防救援大队2022年合同制政府专职消防员公开招聘岗位表</w:t>
      </w:r>
    </w:p>
    <w:tbl>
      <w:tblPr>
        <w:tblStyle w:val="3"/>
        <w:tblW w:w="12928"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547"/>
        <w:gridCol w:w="864"/>
        <w:gridCol w:w="811"/>
        <w:gridCol w:w="711"/>
        <w:gridCol w:w="1036"/>
        <w:gridCol w:w="1177"/>
        <w:gridCol w:w="2570"/>
        <w:gridCol w:w="3100"/>
        <w:gridCol w:w="970"/>
        <w:gridCol w:w="11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647" w:hRule="atLeast"/>
        </w:trPr>
        <w:tc>
          <w:tcPr>
            <w:tcW w:w="547" w:type="dxa"/>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rPr>
                <w:rFonts w:hint="eastAsia" w:asciiTheme="majorEastAsia" w:hAnsiTheme="majorEastAsia" w:eastAsiaTheme="majorEastAsia" w:cstheme="majorEastAsia"/>
                <w:b/>
                <w:bCs/>
                <w:color w:val="auto"/>
                <w:sz w:val="21"/>
                <w:szCs w:val="21"/>
                <w:lang w:eastAsia="zh-CN"/>
              </w:rPr>
            </w:pPr>
            <w:r>
              <w:rPr>
                <w:rFonts w:hint="eastAsia" w:asciiTheme="majorEastAsia" w:hAnsiTheme="majorEastAsia" w:eastAsiaTheme="majorEastAsia" w:cstheme="majorEastAsia"/>
                <w:b/>
                <w:bCs/>
                <w:color w:val="auto"/>
                <w:sz w:val="21"/>
                <w:szCs w:val="21"/>
                <w:lang w:eastAsia="zh-CN"/>
              </w:rPr>
              <w:t>序号</w:t>
            </w:r>
          </w:p>
        </w:tc>
        <w:tc>
          <w:tcPr>
            <w:tcW w:w="864" w:type="dxa"/>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rPr>
                <w:rFonts w:hint="eastAsia" w:asciiTheme="majorEastAsia" w:hAnsiTheme="majorEastAsia" w:eastAsiaTheme="majorEastAsia" w:cstheme="majorEastAsia"/>
                <w:b/>
                <w:bCs/>
                <w:color w:val="auto"/>
                <w:sz w:val="21"/>
                <w:szCs w:val="21"/>
                <w:lang w:eastAsia="zh-CN"/>
              </w:rPr>
            </w:pPr>
            <w:r>
              <w:rPr>
                <w:rFonts w:hint="eastAsia" w:asciiTheme="majorEastAsia" w:hAnsiTheme="majorEastAsia" w:eastAsiaTheme="majorEastAsia" w:cstheme="majorEastAsia"/>
                <w:b/>
                <w:bCs/>
                <w:color w:val="auto"/>
                <w:sz w:val="21"/>
                <w:szCs w:val="21"/>
                <w:lang w:eastAsia="zh-CN"/>
              </w:rPr>
              <w:t>类型</w:t>
            </w:r>
          </w:p>
        </w:tc>
        <w:tc>
          <w:tcPr>
            <w:tcW w:w="811" w:type="dxa"/>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b/>
                <w:bCs/>
                <w:color w:val="auto"/>
                <w:sz w:val="21"/>
                <w:szCs w:val="21"/>
              </w:rPr>
              <w:t>名称</w:t>
            </w:r>
          </w:p>
        </w:tc>
        <w:tc>
          <w:tcPr>
            <w:tcW w:w="711" w:type="dxa"/>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b/>
                <w:bCs/>
                <w:color w:val="auto"/>
                <w:sz w:val="21"/>
                <w:szCs w:val="21"/>
              </w:rPr>
              <w:t>性别</w:t>
            </w:r>
          </w:p>
        </w:tc>
        <w:tc>
          <w:tcPr>
            <w:tcW w:w="1036" w:type="dxa"/>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b/>
                <w:bCs/>
                <w:color w:val="auto"/>
                <w:sz w:val="21"/>
                <w:szCs w:val="21"/>
              </w:rPr>
              <w:t>专业</w:t>
            </w:r>
          </w:p>
        </w:tc>
        <w:tc>
          <w:tcPr>
            <w:tcW w:w="1177" w:type="dxa"/>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b/>
                <w:bCs/>
                <w:color w:val="auto"/>
                <w:sz w:val="21"/>
                <w:szCs w:val="21"/>
              </w:rPr>
              <w:t>学历</w:t>
            </w:r>
          </w:p>
        </w:tc>
        <w:tc>
          <w:tcPr>
            <w:tcW w:w="2570" w:type="dxa"/>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rPr>
                <w:rFonts w:hint="eastAsia" w:asciiTheme="majorEastAsia" w:hAnsiTheme="majorEastAsia" w:eastAsiaTheme="majorEastAsia" w:cstheme="majorEastAsia"/>
                <w:color w:val="auto"/>
                <w:sz w:val="21"/>
                <w:szCs w:val="21"/>
                <w:lang w:val="en-US" w:eastAsia="zh-CN"/>
              </w:rPr>
            </w:pPr>
            <w:r>
              <w:rPr>
                <w:rFonts w:hint="eastAsia" w:asciiTheme="majorEastAsia" w:hAnsiTheme="majorEastAsia" w:eastAsiaTheme="majorEastAsia" w:cstheme="majorEastAsia"/>
                <w:b/>
                <w:bCs/>
                <w:color w:val="auto"/>
                <w:sz w:val="21"/>
                <w:szCs w:val="21"/>
                <w:lang w:val="en-US" w:eastAsia="zh-CN"/>
              </w:rPr>
              <w:t>其他要求</w:t>
            </w:r>
          </w:p>
        </w:tc>
        <w:tc>
          <w:tcPr>
            <w:tcW w:w="3100" w:type="dxa"/>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rPr>
                <w:rFonts w:hint="eastAsia" w:asciiTheme="majorEastAsia" w:hAnsiTheme="majorEastAsia" w:eastAsiaTheme="majorEastAsia" w:cstheme="majorEastAsia"/>
                <w:b/>
                <w:bCs/>
                <w:color w:val="auto"/>
                <w:sz w:val="21"/>
                <w:szCs w:val="21"/>
                <w:lang w:val="en-US" w:eastAsia="zh-CN"/>
              </w:rPr>
            </w:pPr>
          </w:p>
        </w:tc>
        <w:tc>
          <w:tcPr>
            <w:tcW w:w="970" w:type="dxa"/>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jc w:val="center"/>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b/>
                <w:bCs/>
                <w:color w:val="auto"/>
                <w:sz w:val="21"/>
                <w:szCs w:val="21"/>
                <w:lang w:eastAsia="zh-CN"/>
              </w:rPr>
              <w:t>人数</w:t>
            </w:r>
          </w:p>
        </w:tc>
        <w:tc>
          <w:tcPr>
            <w:tcW w:w="1142" w:type="dxa"/>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jc w:val="center"/>
              <w:rPr>
                <w:rFonts w:hint="eastAsia" w:asciiTheme="majorEastAsia" w:hAnsiTheme="majorEastAsia" w:eastAsiaTheme="majorEastAsia" w:cstheme="majorEastAsia"/>
                <w:b/>
                <w:bCs/>
                <w:color w:val="auto"/>
                <w:sz w:val="21"/>
                <w:szCs w:val="21"/>
                <w:lang w:val="en-US" w:eastAsia="zh-CN"/>
              </w:rPr>
            </w:pPr>
            <w:r>
              <w:rPr>
                <w:rFonts w:hint="eastAsia" w:asciiTheme="majorEastAsia" w:hAnsiTheme="majorEastAsia" w:eastAsiaTheme="majorEastAsia" w:cstheme="majorEastAsia"/>
                <w:b/>
                <w:bCs/>
                <w:color w:val="auto"/>
                <w:sz w:val="21"/>
                <w:szCs w:val="21"/>
                <w:lang w:val="en-US" w:eastAsia="zh-CN"/>
              </w:rPr>
              <w:t>福利待遇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275" w:hRule="atLeast"/>
        </w:trPr>
        <w:tc>
          <w:tcPr>
            <w:tcW w:w="547" w:type="dxa"/>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rPr>
                <w:rFonts w:hint="default" w:ascii="仿宋_GB2312" w:hAnsi="仿宋_GB2312" w:eastAsia="仿宋_GB2312" w:cs="仿宋_GB2312"/>
                <w:b/>
                <w:bCs/>
                <w:color w:val="auto"/>
                <w:sz w:val="24"/>
                <w:szCs w:val="24"/>
                <w:lang w:val="en-US" w:eastAsia="zh-CN"/>
              </w:rPr>
            </w:pPr>
            <w:r>
              <w:rPr>
                <w:rFonts w:hint="eastAsia" w:ascii="仿宋_GB2312" w:hAnsi="仿宋_GB2312" w:eastAsia="仿宋_GB2312" w:cs="仿宋_GB2312"/>
                <w:b/>
                <w:bCs/>
                <w:color w:val="auto"/>
                <w:sz w:val="24"/>
                <w:szCs w:val="24"/>
                <w:lang w:val="en-US" w:eastAsia="zh-CN"/>
              </w:rPr>
              <w:t>1</w:t>
            </w:r>
          </w:p>
        </w:tc>
        <w:tc>
          <w:tcPr>
            <w:tcW w:w="864" w:type="dxa"/>
            <w:vMerge w:val="restart"/>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rPr>
                <w:rFonts w:hint="eastAsia" w:ascii="仿宋_GB2312" w:hAnsi="仿宋_GB2312" w:eastAsia="仿宋_GB2312" w:cs="仿宋_GB2312"/>
                <w:b/>
                <w:bCs/>
                <w:color w:val="auto"/>
                <w:sz w:val="18"/>
                <w:szCs w:val="18"/>
                <w:lang w:eastAsia="zh-CN"/>
              </w:rPr>
            </w:pPr>
            <w:r>
              <w:rPr>
                <w:rFonts w:hint="eastAsia" w:ascii="仿宋_GB2312" w:hAnsi="仿宋_GB2312" w:eastAsia="仿宋_GB2312" w:cs="仿宋_GB2312"/>
                <w:b/>
                <w:bCs/>
                <w:color w:val="auto"/>
                <w:sz w:val="18"/>
                <w:szCs w:val="18"/>
                <w:lang w:eastAsia="zh-CN"/>
              </w:rPr>
              <w:t>执勤岗</w:t>
            </w:r>
          </w:p>
        </w:tc>
        <w:tc>
          <w:tcPr>
            <w:tcW w:w="811" w:type="dxa"/>
            <w:shd w:val="clear" w:color="auto" w:fill="auto"/>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tLeast"/>
              <w:ind w:left="0" w:leftChars="0" w:right="0" w:rightChars="0"/>
              <w:jc w:val="both"/>
              <w:textAlignment w:val="auto"/>
              <w:outlineLvl w:val="9"/>
              <w:rPr>
                <w:rFonts w:hint="eastAsia" w:ascii="仿宋_GB2312" w:hAnsi="仿宋_GB2312" w:eastAsia="仿宋_GB2312" w:cs="仿宋_GB2312"/>
                <w:b w:val="0"/>
                <w:bCs w:val="0"/>
                <w:color w:val="auto"/>
                <w:sz w:val="18"/>
                <w:szCs w:val="18"/>
                <w:lang w:eastAsia="zh-CN"/>
              </w:rPr>
            </w:pPr>
            <w:r>
              <w:rPr>
                <w:rFonts w:hint="eastAsia" w:ascii="仿宋_GB2312" w:hAnsi="仿宋_GB2312" w:eastAsia="仿宋_GB2312" w:cs="仿宋_GB2312"/>
                <w:b w:val="0"/>
                <w:bCs w:val="0"/>
                <w:color w:val="auto"/>
                <w:sz w:val="18"/>
                <w:szCs w:val="18"/>
                <w:lang w:eastAsia="zh-CN"/>
              </w:rPr>
              <w:t>灭火战斗员</w:t>
            </w:r>
          </w:p>
        </w:tc>
        <w:tc>
          <w:tcPr>
            <w:tcW w:w="711" w:type="dxa"/>
            <w:shd w:val="clear" w:color="auto" w:fill="auto"/>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auto"/>
              <w:outlineLvl w:val="9"/>
              <w:rPr>
                <w:rFonts w:hint="eastAsia" w:ascii="仿宋_GB2312" w:hAnsi="仿宋_GB2312" w:eastAsia="仿宋_GB2312" w:cs="仿宋_GB2312"/>
                <w:b w:val="0"/>
                <w:bCs w:val="0"/>
                <w:color w:val="auto"/>
                <w:sz w:val="18"/>
                <w:szCs w:val="18"/>
                <w:lang w:eastAsia="zh-CN"/>
              </w:rPr>
            </w:pPr>
            <w:r>
              <w:rPr>
                <w:rFonts w:hint="eastAsia" w:ascii="仿宋_GB2312" w:hAnsi="仿宋_GB2312" w:eastAsia="仿宋_GB2312" w:cs="仿宋_GB2312"/>
                <w:b w:val="0"/>
                <w:bCs w:val="0"/>
                <w:color w:val="auto"/>
                <w:sz w:val="18"/>
                <w:szCs w:val="18"/>
              </w:rPr>
              <w:t>男</w:t>
            </w:r>
          </w:p>
        </w:tc>
        <w:tc>
          <w:tcPr>
            <w:tcW w:w="1036" w:type="dxa"/>
            <w:shd w:val="clear" w:color="auto" w:fill="auto"/>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auto"/>
              <w:outlineLvl w:val="9"/>
              <w:rPr>
                <w:rFonts w:hint="eastAsia" w:ascii="仿宋_GB2312" w:hAnsi="仿宋_GB2312" w:eastAsia="仿宋_GB2312" w:cs="仿宋_GB2312"/>
                <w:b w:val="0"/>
                <w:bCs w:val="0"/>
                <w:color w:val="auto"/>
                <w:sz w:val="18"/>
                <w:szCs w:val="18"/>
                <w:lang w:eastAsia="zh-CN"/>
              </w:rPr>
            </w:pPr>
            <w:r>
              <w:rPr>
                <w:rFonts w:hint="eastAsia" w:ascii="仿宋_GB2312" w:hAnsi="仿宋_GB2312" w:eastAsia="仿宋_GB2312" w:cs="仿宋_GB2312"/>
                <w:b w:val="0"/>
                <w:bCs w:val="0"/>
                <w:color w:val="auto"/>
                <w:sz w:val="18"/>
                <w:szCs w:val="18"/>
                <w:lang w:eastAsia="zh-CN"/>
              </w:rPr>
              <w:t>不限</w:t>
            </w:r>
          </w:p>
        </w:tc>
        <w:tc>
          <w:tcPr>
            <w:tcW w:w="1177" w:type="dxa"/>
            <w:shd w:val="clear" w:color="auto" w:fill="auto"/>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tLeast"/>
              <w:ind w:left="0" w:leftChars="0" w:right="0" w:rightChars="0"/>
              <w:jc w:val="left"/>
              <w:textAlignment w:val="auto"/>
              <w:outlineLvl w:val="9"/>
              <w:rPr>
                <w:rFonts w:hint="eastAsia" w:ascii="仿宋_GB2312" w:hAnsi="仿宋_GB2312" w:eastAsia="仿宋_GB2312" w:cs="仿宋_GB2312"/>
                <w:b w:val="0"/>
                <w:bCs w:val="0"/>
                <w:color w:val="auto"/>
                <w:sz w:val="18"/>
                <w:szCs w:val="18"/>
                <w:lang w:eastAsia="zh-CN"/>
              </w:rPr>
            </w:pPr>
            <w:r>
              <w:rPr>
                <w:rFonts w:hint="eastAsia" w:ascii="仿宋_GB2312" w:hAnsi="仿宋_GB2312" w:eastAsia="仿宋_GB2312" w:cs="仿宋_GB2312"/>
                <w:b w:val="0"/>
                <w:bCs w:val="0"/>
                <w:color w:val="auto"/>
                <w:sz w:val="18"/>
                <w:szCs w:val="18"/>
                <w:lang w:eastAsia="zh-CN"/>
              </w:rPr>
              <w:t>高中（中专）及以上</w:t>
            </w:r>
          </w:p>
        </w:tc>
        <w:tc>
          <w:tcPr>
            <w:tcW w:w="2570" w:type="dxa"/>
            <w:shd w:val="clear" w:color="auto" w:fill="auto"/>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tLeast"/>
              <w:ind w:left="0" w:leftChars="0" w:right="0" w:rightChars="0"/>
              <w:jc w:val="left"/>
              <w:textAlignment w:val="auto"/>
              <w:outlineLvl w:val="9"/>
              <w:rPr>
                <w:rFonts w:hint="eastAsia" w:ascii="仿宋_GB2312" w:hAnsi="仿宋_GB2312" w:eastAsia="仿宋_GB2312" w:cs="仿宋_GB2312"/>
                <w:b w:val="0"/>
                <w:bCs w:val="0"/>
                <w:color w:val="auto"/>
                <w:sz w:val="18"/>
                <w:szCs w:val="18"/>
                <w:lang w:val="en-US" w:eastAsia="zh-CN"/>
              </w:rPr>
            </w:pPr>
            <w:r>
              <w:rPr>
                <w:rFonts w:hint="eastAsia" w:ascii="仿宋_GB2312" w:hAnsi="仿宋_GB2312" w:eastAsia="仿宋_GB2312" w:cs="仿宋_GB2312"/>
                <w:b w:val="0"/>
                <w:bCs w:val="0"/>
                <w:color w:val="auto"/>
                <w:sz w:val="18"/>
                <w:szCs w:val="18"/>
                <w:lang w:val="en-US" w:eastAsia="zh-CN"/>
              </w:rPr>
              <w:t>1.18到28周岁，退役消防员或退役军人或从事政府专职消防队工作经历满两年以上的年龄适当放宽至30周岁。</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tLeast"/>
              <w:ind w:left="0" w:leftChars="0" w:right="0" w:rightChars="0"/>
              <w:jc w:val="left"/>
              <w:textAlignment w:val="auto"/>
              <w:outlineLvl w:val="9"/>
              <w:rPr>
                <w:rFonts w:hint="eastAsia" w:ascii="仿宋_GB2312" w:hAnsi="仿宋_GB2312" w:eastAsia="仿宋_GB2312" w:cs="仿宋_GB2312"/>
                <w:b w:val="0"/>
                <w:bCs w:val="0"/>
                <w:color w:val="auto"/>
                <w:sz w:val="18"/>
                <w:szCs w:val="18"/>
                <w:lang w:val="en-US" w:eastAsia="zh-CN"/>
              </w:rPr>
            </w:pPr>
            <w:r>
              <w:rPr>
                <w:rFonts w:hint="eastAsia" w:ascii="仿宋_GB2312" w:hAnsi="仿宋_GB2312" w:eastAsia="仿宋_GB2312" w:cs="仿宋_GB2312"/>
                <w:b w:val="0"/>
                <w:bCs w:val="0"/>
                <w:color w:val="auto"/>
                <w:sz w:val="18"/>
                <w:szCs w:val="18"/>
                <w:lang w:val="en-US" w:eastAsia="zh-CN"/>
              </w:rPr>
              <w:t xml:space="preserve">2.在同等条件下退役士兵、消防员，特别是在部队期间有立功表现的优先。                </w:t>
            </w:r>
          </w:p>
        </w:tc>
        <w:tc>
          <w:tcPr>
            <w:tcW w:w="3100" w:type="dxa"/>
            <w:vMerge w:val="restart"/>
            <w:shd w:val="clear" w:color="auto" w:fill="auto"/>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tLeast"/>
              <w:ind w:right="0" w:rightChars="0"/>
              <w:jc w:val="left"/>
              <w:textAlignment w:val="auto"/>
              <w:outlineLvl w:val="9"/>
              <w:rPr>
                <w:rFonts w:hint="eastAsia" w:ascii="仿宋_GB2312" w:hAnsi="仿宋_GB2312" w:eastAsia="仿宋_GB2312" w:cs="仿宋_GB2312"/>
                <w:b w:val="0"/>
                <w:bCs w:val="0"/>
                <w:color w:val="auto"/>
                <w:sz w:val="18"/>
                <w:szCs w:val="18"/>
                <w:lang w:val="en-US" w:eastAsia="zh-CN"/>
              </w:rPr>
            </w:pPr>
            <w:r>
              <w:rPr>
                <w:rFonts w:hint="eastAsia" w:ascii="仿宋_GB2312" w:hAnsi="仿宋_GB2312" w:eastAsia="仿宋_GB2312" w:cs="仿宋_GB2312"/>
                <w:b w:val="0"/>
                <w:bCs w:val="0"/>
                <w:color w:val="auto"/>
                <w:sz w:val="18"/>
                <w:szCs w:val="18"/>
                <w:lang w:val="en-US" w:eastAsia="zh-CN"/>
              </w:rPr>
              <w:t>1、具有中华人民共和国国籍，拥护《中华人民共和国宪法》。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tLeast"/>
              <w:ind w:right="0" w:rightChars="0"/>
              <w:jc w:val="left"/>
              <w:textAlignment w:val="auto"/>
              <w:outlineLvl w:val="9"/>
              <w:rPr>
                <w:rFonts w:hint="eastAsia" w:ascii="仿宋_GB2312" w:hAnsi="仿宋_GB2312" w:eastAsia="仿宋_GB2312" w:cs="仿宋_GB2312"/>
                <w:b w:val="0"/>
                <w:bCs w:val="0"/>
                <w:color w:val="auto"/>
                <w:sz w:val="18"/>
                <w:szCs w:val="18"/>
                <w:lang w:val="en-US" w:eastAsia="zh-CN"/>
              </w:rPr>
            </w:pPr>
            <w:r>
              <w:rPr>
                <w:rFonts w:hint="eastAsia" w:ascii="仿宋_GB2312" w:hAnsi="仿宋_GB2312" w:eastAsia="仿宋_GB2312" w:cs="仿宋_GB2312"/>
                <w:b w:val="0"/>
                <w:bCs w:val="0"/>
                <w:color w:val="auto"/>
                <w:sz w:val="18"/>
                <w:szCs w:val="18"/>
                <w:lang w:val="en-US" w:eastAsia="zh-CN"/>
              </w:rPr>
              <w:t>2、遵纪守法，服从安排，具有较强的组织纪律观念，无违法违纪记录。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tLeast"/>
              <w:ind w:right="0" w:rightChars="0"/>
              <w:jc w:val="left"/>
              <w:textAlignment w:val="auto"/>
              <w:outlineLvl w:val="9"/>
              <w:rPr>
                <w:rFonts w:hint="eastAsia" w:ascii="仿宋_GB2312" w:hAnsi="仿宋_GB2312" w:eastAsia="仿宋_GB2312" w:cs="仿宋_GB2312"/>
                <w:b w:val="0"/>
                <w:bCs w:val="0"/>
                <w:color w:val="auto"/>
                <w:sz w:val="18"/>
                <w:szCs w:val="18"/>
                <w:lang w:val="en-US" w:eastAsia="zh-CN"/>
              </w:rPr>
            </w:pPr>
            <w:r>
              <w:rPr>
                <w:rFonts w:hint="eastAsia" w:ascii="仿宋_GB2312" w:hAnsi="仿宋_GB2312" w:eastAsia="仿宋_GB2312" w:cs="仿宋_GB2312"/>
                <w:b w:val="0"/>
                <w:bCs w:val="0"/>
                <w:color w:val="auto"/>
                <w:sz w:val="18"/>
                <w:szCs w:val="18"/>
                <w:lang w:val="en-US" w:eastAsia="zh-CN"/>
              </w:rPr>
              <w:t>3、自愿从事灭火救援工作服从消防队的管理，符合《消防员职业健康》规定的身体条件，体貌端正，无残疾，无重听，无色盲，无传染性疾病，具备适应全天候参与执勤训练的身体素质和良好的心理素质。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tLeast"/>
              <w:ind w:right="0" w:rightChars="0"/>
              <w:jc w:val="left"/>
              <w:textAlignment w:val="auto"/>
              <w:outlineLvl w:val="9"/>
              <w:rPr>
                <w:rFonts w:hint="eastAsia" w:ascii="仿宋_GB2312" w:hAnsi="仿宋_GB2312" w:eastAsia="仿宋_GB2312" w:cs="仿宋_GB2312"/>
                <w:b w:val="0"/>
                <w:bCs w:val="0"/>
                <w:color w:val="auto"/>
                <w:sz w:val="18"/>
                <w:szCs w:val="18"/>
                <w:lang w:val="en-US" w:eastAsia="zh-CN"/>
              </w:rPr>
            </w:pPr>
            <w:r>
              <w:rPr>
                <w:rFonts w:hint="eastAsia" w:ascii="仿宋_GB2312" w:hAnsi="仿宋_GB2312" w:eastAsia="仿宋_GB2312" w:cs="仿宋_GB2312"/>
                <w:b w:val="0"/>
                <w:bCs w:val="0"/>
                <w:color w:val="auto"/>
                <w:sz w:val="18"/>
                <w:szCs w:val="18"/>
                <w:lang w:val="en-US" w:eastAsia="zh-CN"/>
              </w:rPr>
              <w:t>4、在同等条件下，退役消防员或退役军人优先，有球类（篮球、足球、羽毛球、乒乓球等）、文艺特长、电脑维修、车辆维修、水电维修、文书写作等特长、C2驾驶证以上的优先考虑。</w:t>
            </w:r>
          </w:p>
        </w:tc>
        <w:tc>
          <w:tcPr>
            <w:tcW w:w="970" w:type="dxa"/>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jc w:val="center"/>
              <w:rPr>
                <w:rFonts w:hint="default" w:ascii="仿宋_GB2312" w:hAnsi="仿宋_GB2312" w:eastAsia="仿宋_GB2312" w:cs="仿宋_GB2312"/>
                <w:color w:val="auto"/>
                <w:lang w:val="en-US"/>
              </w:rPr>
            </w:pPr>
            <w:r>
              <w:rPr>
                <w:rFonts w:hint="eastAsia" w:ascii="仿宋_GB2312" w:hAnsi="仿宋_GB2312" w:eastAsia="仿宋_GB2312" w:cs="仿宋_GB2312"/>
                <w:b w:val="0"/>
                <w:bCs w:val="0"/>
                <w:color w:val="auto"/>
                <w:sz w:val="18"/>
                <w:szCs w:val="18"/>
                <w:lang w:val="en-US" w:eastAsia="zh-CN"/>
              </w:rPr>
              <w:t>8</w:t>
            </w:r>
          </w:p>
        </w:tc>
        <w:tc>
          <w:tcPr>
            <w:tcW w:w="1142" w:type="dxa"/>
            <w:vMerge w:val="restart"/>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left"/>
              <w:rPr>
                <w:rFonts w:hint="eastAsia" w:ascii="仿宋_GB2312" w:hAnsi="仿宋_GB2312" w:eastAsia="仿宋_GB2312" w:cs="仿宋_GB2312"/>
                <w:b w:val="0"/>
                <w:bCs w:val="0"/>
                <w:color w:val="auto"/>
                <w:sz w:val="18"/>
                <w:szCs w:val="18"/>
                <w:lang w:val="en-US" w:eastAsia="zh-CN"/>
              </w:rPr>
            </w:pPr>
            <w:r>
              <w:rPr>
                <w:rFonts w:hint="eastAsia" w:ascii="仿宋_GB2312" w:hAnsi="仿宋_GB2312" w:eastAsia="仿宋_GB2312" w:cs="仿宋_GB2312"/>
                <w:b w:val="0"/>
                <w:bCs w:val="0"/>
                <w:color w:val="auto"/>
                <w:sz w:val="18"/>
                <w:szCs w:val="18"/>
                <w:lang w:val="en-US" w:eastAsia="zh-CN"/>
              </w:rPr>
              <w:t>8到10万元/年，24小时驻岗，每月休4-6天（轮休）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11" w:hRule="atLeast"/>
        </w:trPr>
        <w:tc>
          <w:tcPr>
            <w:tcW w:w="547" w:type="dxa"/>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rPr>
                <w:rFonts w:hint="default" w:ascii="仿宋_GB2312" w:hAnsi="仿宋_GB2312" w:eastAsia="仿宋_GB2312" w:cs="仿宋_GB2312"/>
                <w:b/>
                <w:bCs/>
                <w:color w:val="auto"/>
                <w:sz w:val="24"/>
                <w:szCs w:val="24"/>
                <w:lang w:val="en-US" w:eastAsia="zh-CN"/>
              </w:rPr>
            </w:pPr>
            <w:r>
              <w:rPr>
                <w:rFonts w:hint="eastAsia" w:ascii="仿宋_GB2312" w:hAnsi="仿宋_GB2312" w:eastAsia="仿宋_GB2312" w:cs="仿宋_GB2312"/>
                <w:b/>
                <w:bCs/>
                <w:color w:val="auto"/>
                <w:sz w:val="24"/>
                <w:szCs w:val="24"/>
                <w:lang w:val="en-US" w:eastAsia="zh-CN"/>
              </w:rPr>
              <w:t>2</w:t>
            </w:r>
          </w:p>
        </w:tc>
        <w:tc>
          <w:tcPr>
            <w:tcW w:w="864" w:type="dxa"/>
            <w:vMerge w:val="continue"/>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rPr>
                <w:rFonts w:hint="eastAsia" w:ascii="仿宋_GB2312" w:hAnsi="仿宋_GB2312" w:eastAsia="仿宋_GB2312" w:cs="仿宋_GB2312"/>
                <w:b/>
                <w:bCs/>
                <w:color w:val="auto"/>
                <w:sz w:val="18"/>
                <w:szCs w:val="18"/>
                <w:lang w:eastAsia="zh-CN"/>
              </w:rPr>
            </w:pPr>
          </w:p>
        </w:tc>
        <w:tc>
          <w:tcPr>
            <w:tcW w:w="811" w:type="dxa"/>
            <w:shd w:val="clear" w:color="auto" w:fill="auto"/>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tLeast"/>
              <w:ind w:left="0" w:leftChars="0" w:right="0" w:rightChars="0"/>
              <w:jc w:val="both"/>
              <w:textAlignment w:val="auto"/>
              <w:outlineLvl w:val="9"/>
              <w:rPr>
                <w:rFonts w:hint="eastAsia" w:ascii="仿宋_GB2312" w:hAnsi="仿宋_GB2312" w:eastAsia="仿宋_GB2312" w:cs="仿宋_GB2312"/>
                <w:b w:val="0"/>
                <w:bCs w:val="0"/>
                <w:color w:val="auto"/>
                <w:kern w:val="0"/>
                <w:sz w:val="18"/>
                <w:szCs w:val="18"/>
                <w:lang w:val="en-US" w:eastAsia="zh-CN" w:bidi="ar"/>
              </w:rPr>
            </w:pPr>
            <w:r>
              <w:rPr>
                <w:rFonts w:hint="eastAsia" w:ascii="仿宋_GB2312" w:hAnsi="仿宋_GB2312" w:eastAsia="仿宋_GB2312" w:cs="仿宋_GB2312"/>
                <w:b w:val="0"/>
                <w:bCs w:val="0"/>
                <w:color w:val="auto"/>
                <w:sz w:val="18"/>
                <w:szCs w:val="18"/>
                <w:lang w:eastAsia="zh-CN"/>
              </w:rPr>
              <w:t>消防车驾驶员</w:t>
            </w:r>
          </w:p>
        </w:tc>
        <w:tc>
          <w:tcPr>
            <w:tcW w:w="711" w:type="dxa"/>
            <w:shd w:val="clear" w:color="auto" w:fill="auto"/>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auto"/>
              <w:outlineLvl w:val="9"/>
              <w:rPr>
                <w:rFonts w:hint="eastAsia" w:ascii="仿宋_GB2312" w:hAnsi="仿宋_GB2312" w:eastAsia="仿宋_GB2312" w:cs="仿宋_GB2312"/>
                <w:b w:val="0"/>
                <w:bCs w:val="0"/>
                <w:color w:val="auto"/>
                <w:kern w:val="0"/>
                <w:sz w:val="18"/>
                <w:szCs w:val="18"/>
                <w:lang w:val="en-US" w:eastAsia="zh-CN" w:bidi="ar"/>
              </w:rPr>
            </w:pPr>
            <w:r>
              <w:rPr>
                <w:rFonts w:hint="eastAsia" w:ascii="仿宋_GB2312" w:hAnsi="仿宋_GB2312" w:eastAsia="仿宋_GB2312" w:cs="仿宋_GB2312"/>
                <w:b w:val="0"/>
                <w:bCs w:val="0"/>
                <w:color w:val="auto"/>
                <w:sz w:val="18"/>
                <w:szCs w:val="18"/>
                <w:lang w:eastAsia="zh-CN"/>
              </w:rPr>
              <w:t>男</w:t>
            </w:r>
          </w:p>
        </w:tc>
        <w:tc>
          <w:tcPr>
            <w:tcW w:w="1036" w:type="dxa"/>
            <w:shd w:val="clear" w:color="auto" w:fill="auto"/>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auto"/>
              <w:outlineLvl w:val="9"/>
              <w:rPr>
                <w:rFonts w:hint="eastAsia" w:ascii="仿宋_GB2312" w:hAnsi="仿宋_GB2312" w:eastAsia="仿宋_GB2312" w:cs="仿宋_GB2312"/>
                <w:b w:val="0"/>
                <w:bCs w:val="0"/>
                <w:color w:val="auto"/>
                <w:kern w:val="0"/>
                <w:sz w:val="18"/>
                <w:szCs w:val="18"/>
                <w:lang w:val="en-US" w:eastAsia="zh-CN" w:bidi="ar"/>
              </w:rPr>
            </w:pPr>
            <w:r>
              <w:rPr>
                <w:rFonts w:hint="eastAsia" w:ascii="仿宋_GB2312" w:hAnsi="仿宋_GB2312" w:eastAsia="仿宋_GB2312" w:cs="仿宋_GB2312"/>
                <w:b w:val="0"/>
                <w:bCs w:val="0"/>
                <w:color w:val="auto"/>
                <w:sz w:val="18"/>
                <w:szCs w:val="18"/>
                <w:lang w:eastAsia="zh-CN"/>
              </w:rPr>
              <w:t>不限</w:t>
            </w:r>
          </w:p>
        </w:tc>
        <w:tc>
          <w:tcPr>
            <w:tcW w:w="1177" w:type="dxa"/>
            <w:shd w:val="clear" w:color="auto" w:fill="auto"/>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tLeast"/>
              <w:ind w:left="0" w:leftChars="0" w:right="0" w:rightChars="0"/>
              <w:jc w:val="left"/>
              <w:textAlignment w:val="auto"/>
              <w:outlineLvl w:val="9"/>
              <w:rPr>
                <w:rFonts w:hint="eastAsia" w:ascii="仿宋_GB2312" w:hAnsi="仿宋_GB2312" w:eastAsia="仿宋_GB2312" w:cs="仿宋_GB2312"/>
                <w:b w:val="0"/>
                <w:bCs w:val="0"/>
                <w:color w:val="auto"/>
                <w:kern w:val="0"/>
                <w:sz w:val="18"/>
                <w:szCs w:val="18"/>
                <w:lang w:val="en-US" w:eastAsia="zh-CN" w:bidi="ar"/>
              </w:rPr>
            </w:pPr>
            <w:r>
              <w:rPr>
                <w:rFonts w:hint="eastAsia" w:ascii="仿宋_GB2312" w:hAnsi="仿宋_GB2312" w:eastAsia="仿宋_GB2312" w:cs="仿宋_GB2312"/>
                <w:b w:val="0"/>
                <w:bCs w:val="0"/>
                <w:color w:val="auto"/>
                <w:sz w:val="18"/>
                <w:szCs w:val="18"/>
                <w:lang w:eastAsia="zh-CN"/>
              </w:rPr>
              <w:t>高中（中专）及以上</w:t>
            </w:r>
          </w:p>
        </w:tc>
        <w:tc>
          <w:tcPr>
            <w:tcW w:w="2570" w:type="dxa"/>
            <w:shd w:val="clear" w:color="auto" w:fill="auto"/>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tLeast"/>
              <w:ind w:left="0" w:leftChars="0" w:right="0" w:rightChars="0"/>
              <w:jc w:val="left"/>
              <w:textAlignment w:val="auto"/>
              <w:outlineLvl w:val="9"/>
              <w:rPr>
                <w:rFonts w:hint="eastAsia" w:ascii="仿宋_GB2312" w:hAnsi="仿宋_GB2312" w:eastAsia="仿宋_GB2312" w:cs="仿宋_GB2312"/>
                <w:b w:val="0"/>
                <w:bCs w:val="0"/>
                <w:color w:val="auto"/>
                <w:kern w:val="0"/>
                <w:sz w:val="18"/>
                <w:szCs w:val="18"/>
                <w:lang w:val="en-US" w:eastAsia="zh-CN" w:bidi="ar"/>
              </w:rPr>
            </w:pPr>
            <w:r>
              <w:rPr>
                <w:rFonts w:hint="eastAsia" w:ascii="仿宋_GB2312" w:hAnsi="仿宋_GB2312" w:eastAsia="仿宋_GB2312" w:cs="仿宋_GB2312"/>
                <w:b w:val="0"/>
                <w:bCs w:val="0"/>
                <w:color w:val="auto"/>
                <w:sz w:val="18"/>
                <w:szCs w:val="18"/>
                <w:lang w:val="en-US" w:eastAsia="zh-CN"/>
              </w:rPr>
              <w:t>22到33周岁，持有机动车B2驾驶资格证，且驾龄3年以上，无重大交通事故违法违章记录。</w:t>
            </w:r>
          </w:p>
        </w:tc>
        <w:tc>
          <w:tcPr>
            <w:tcW w:w="3100" w:type="dxa"/>
            <w:vMerge w:val="continue"/>
            <w:shd w:val="clear" w:color="auto" w:fill="auto"/>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tLeast"/>
              <w:ind w:right="0" w:rightChars="0"/>
              <w:jc w:val="left"/>
              <w:textAlignment w:val="auto"/>
              <w:outlineLvl w:val="9"/>
              <w:rPr>
                <w:rFonts w:hint="eastAsia" w:ascii="仿宋_GB2312" w:hAnsi="仿宋_GB2312" w:eastAsia="仿宋_GB2312" w:cs="仿宋_GB2312"/>
                <w:b w:val="0"/>
                <w:bCs w:val="0"/>
                <w:color w:val="auto"/>
                <w:sz w:val="18"/>
                <w:szCs w:val="18"/>
                <w:lang w:val="en-US" w:eastAsia="zh-CN"/>
              </w:rPr>
            </w:pPr>
          </w:p>
        </w:tc>
        <w:tc>
          <w:tcPr>
            <w:tcW w:w="970" w:type="dxa"/>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jc w:val="center"/>
              <w:rPr>
                <w:rFonts w:hint="eastAsia" w:ascii="仿宋_GB2312" w:hAnsi="仿宋_GB2312" w:eastAsia="仿宋_GB2312" w:cs="仿宋_GB2312"/>
                <w:b w:val="0"/>
                <w:bCs w:val="0"/>
                <w:color w:val="auto"/>
                <w:sz w:val="18"/>
                <w:szCs w:val="18"/>
                <w:lang w:val="en-US" w:eastAsia="zh-CN"/>
              </w:rPr>
            </w:pPr>
            <w:r>
              <w:rPr>
                <w:rFonts w:hint="eastAsia" w:ascii="仿宋_GB2312" w:hAnsi="仿宋_GB2312" w:eastAsia="仿宋_GB2312" w:cs="仿宋_GB2312"/>
                <w:b w:val="0"/>
                <w:bCs w:val="0"/>
                <w:color w:val="auto"/>
                <w:sz w:val="18"/>
                <w:szCs w:val="18"/>
                <w:lang w:val="en-US" w:eastAsia="zh-CN"/>
              </w:rPr>
              <w:t>2</w:t>
            </w:r>
          </w:p>
        </w:tc>
        <w:tc>
          <w:tcPr>
            <w:tcW w:w="1142" w:type="dxa"/>
            <w:vMerge w:val="continue"/>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left"/>
              <w:rPr>
                <w:rFonts w:hint="eastAsia" w:ascii="仿宋_GB2312" w:hAnsi="仿宋_GB2312" w:eastAsia="仿宋_GB2312" w:cs="仿宋_GB2312"/>
                <w:b w:val="0"/>
                <w:bCs w:val="0"/>
                <w:color w:val="auto"/>
                <w:sz w:val="18"/>
                <w:szCs w:val="18"/>
                <w:lang w:val="en-US" w:eastAsia="zh-CN"/>
              </w:rPr>
            </w:pP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0" w:firstLine="420"/>
        <w:jc w:val="left"/>
        <w:rPr>
          <w:rFonts w:hint="eastAsia" w:ascii="仿宋_GB2312" w:hAnsi="仿宋_GB2312" w:eastAsia="仿宋_GB2312" w:cs="仿宋_GB2312"/>
          <w:i w:val="0"/>
          <w:caps w:val="0"/>
          <w:color w:val="auto"/>
          <w:spacing w:val="0"/>
          <w:sz w:val="28"/>
          <w:szCs w:val="28"/>
          <w:u w:val="none"/>
          <w:shd w:val="clear" w:fill="FFFFFF"/>
          <w:lang w:val="en-US"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0" w:firstLine="420"/>
        <w:jc w:val="left"/>
        <w:rPr>
          <w:rFonts w:hint="eastAsia" w:ascii="仿宋_GB2312" w:hAnsi="仿宋_GB2312" w:eastAsia="仿宋_GB2312" w:cs="仿宋_GB2312"/>
          <w:i w:val="0"/>
          <w:caps w:val="0"/>
          <w:color w:val="auto"/>
          <w:spacing w:val="0"/>
          <w:sz w:val="28"/>
          <w:szCs w:val="28"/>
          <w:u w:val="none"/>
          <w:shd w:val="clear" w:fill="FFFFFF"/>
          <w:lang w:val="en-US"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0" w:firstLine="420"/>
        <w:jc w:val="left"/>
        <w:rPr>
          <w:rFonts w:hint="eastAsia" w:ascii="仿宋_GB2312" w:hAnsi="仿宋_GB2312" w:eastAsia="仿宋_GB2312" w:cs="仿宋_GB2312"/>
          <w:i w:val="0"/>
          <w:caps w:val="0"/>
          <w:color w:val="auto"/>
          <w:spacing w:val="0"/>
          <w:sz w:val="28"/>
          <w:szCs w:val="28"/>
          <w:u w:val="none"/>
          <w:shd w:val="clear" w:fill="FFFFFF"/>
          <w:lang w:val="en-US" w:eastAsia="zh-CN"/>
        </w:rPr>
      </w:pPr>
    </w:p>
    <w:tbl>
      <w:tblPr>
        <w:tblStyle w:val="3"/>
        <w:tblW w:w="12912"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547"/>
        <w:gridCol w:w="864"/>
        <w:gridCol w:w="811"/>
        <w:gridCol w:w="711"/>
        <w:gridCol w:w="1024"/>
        <w:gridCol w:w="1189"/>
        <w:gridCol w:w="2591"/>
        <w:gridCol w:w="3105"/>
        <w:gridCol w:w="945"/>
        <w:gridCol w:w="11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467" w:hRule="atLeast"/>
        </w:trPr>
        <w:tc>
          <w:tcPr>
            <w:tcW w:w="547" w:type="dxa"/>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rPr>
                <w:rFonts w:hint="default" w:ascii="仿宋_GB2312" w:hAnsi="仿宋_GB2312" w:eastAsia="仿宋_GB2312" w:cs="仿宋_GB2312"/>
                <w:b/>
                <w:bCs/>
                <w:color w:val="auto"/>
                <w:sz w:val="24"/>
                <w:szCs w:val="24"/>
                <w:lang w:val="en-US" w:eastAsia="zh-CN"/>
              </w:rPr>
            </w:pPr>
            <w:r>
              <w:rPr>
                <w:rFonts w:hint="eastAsia" w:ascii="仿宋_GB2312" w:hAnsi="仿宋_GB2312" w:eastAsia="仿宋_GB2312" w:cs="仿宋_GB2312"/>
                <w:b/>
                <w:bCs/>
                <w:color w:val="auto"/>
                <w:sz w:val="24"/>
                <w:szCs w:val="24"/>
                <w:lang w:val="en-US" w:eastAsia="zh-CN"/>
              </w:rPr>
              <w:t>3</w:t>
            </w:r>
          </w:p>
        </w:tc>
        <w:tc>
          <w:tcPr>
            <w:tcW w:w="864" w:type="dxa"/>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rPr>
                <w:rFonts w:hint="eastAsia" w:ascii="仿宋_GB2312" w:hAnsi="仿宋_GB2312" w:eastAsia="仿宋_GB2312" w:cs="仿宋_GB2312"/>
                <w:b/>
                <w:bCs/>
                <w:color w:val="auto"/>
                <w:sz w:val="18"/>
                <w:szCs w:val="18"/>
                <w:lang w:eastAsia="zh-CN"/>
              </w:rPr>
            </w:pPr>
            <w:r>
              <w:rPr>
                <w:rFonts w:hint="eastAsia" w:ascii="仿宋_GB2312" w:hAnsi="仿宋_GB2312" w:eastAsia="仿宋_GB2312" w:cs="仿宋_GB2312"/>
                <w:b/>
                <w:bCs/>
                <w:color w:val="auto"/>
                <w:sz w:val="18"/>
                <w:szCs w:val="18"/>
                <w:lang w:eastAsia="zh-CN"/>
              </w:rPr>
              <w:t>技术岗</w:t>
            </w:r>
          </w:p>
        </w:tc>
        <w:tc>
          <w:tcPr>
            <w:tcW w:w="811" w:type="dxa"/>
            <w:shd w:val="clear" w:color="auto" w:fill="auto"/>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tLeast"/>
              <w:ind w:left="0" w:right="0"/>
              <w:jc w:val="center"/>
              <w:textAlignment w:val="auto"/>
              <w:outlineLvl w:val="9"/>
              <w:rPr>
                <w:rFonts w:hint="eastAsia" w:ascii="仿宋_GB2312" w:hAnsi="仿宋_GB2312" w:eastAsia="仿宋_GB2312" w:cs="仿宋_GB2312"/>
                <w:b w:val="0"/>
                <w:bCs w:val="0"/>
                <w:color w:val="auto"/>
                <w:sz w:val="18"/>
                <w:szCs w:val="18"/>
                <w:lang w:val="en-US" w:eastAsia="zh-CN"/>
              </w:rPr>
            </w:pPr>
            <w:r>
              <w:rPr>
                <w:rFonts w:hint="eastAsia" w:ascii="仿宋_GB2312" w:hAnsi="仿宋_GB2312" w:eastAsia="仿宋_GB2312" w:cs="仿宋_GB2312"/>
                <w:b w:val="0"/>
                <w:bCs w:val="0"/>
                <w:color w:val="auto"/>
                <w:sz w:val="18"/>
                <w:szCs w:val="18"/>
                <w:lang w:val="en-US" w:eastAsia="zh-CN"/>
              </w:rPr>
              <w:t>信通员</w:t>
            </w:r>
          </w:p>
        </w:tc>
        <w:tc>
          <w:tcPr>
            <w:tcW w:w="711" w:type="dxa"/>
            <w:shd w:val="clear" w:color="auto" w:fill="auto"/>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tLeast"/>
              <w:ind w:left="0" w:right="0"/>
              <w:jc w:val="center"/>
              <w:textAlignment w:val="auto"/>
              <w:outlineLvl w:val="9"/>
              <w:rPr>
                <w:rFonts w:hint="eastAsia" w:ascii="仿宋_GB2312" w:hAnsi="仿宋_GB2312" w:eastAsia="仿宋_GB2312" w:cs="仿宋_GB2312"/>
                <w:b w:val="0"/>
                <w:bCs w:val="0"/>
                <w:color w:val="auto"/>
                <w:sz w:val="18"/>
                <w:szCs w:val="18"/>
              </w:rPr>
            </w:pPr>
            <w:r>
              <w:rPr>
                <w:rFonts w:hint="eastAsia" w:ascii="仿宋_GB2312" w:hAnsi="仿宋_GB2312" w:eastAsia="仿宋_GB2312" w:cs="仿宋_GB2312"/>
                <w:b w:val="0"/>
                <w:bCs w:val="0"/>
                <w:color w:val="auto"/>
                <w:sz w:val="18"/>
                <w:szCs w:val="18"/>
              </w:rPr>
              <w:t>男</w:t>
            </w:r>
          </w:p>
        </w:tc>
        <w:tc>
          <w:tcPr>
            <w:tcW w:w="1024" w:type="dxa"/>
            <w:shd w:val="clear" w:color="auto" w:fill="auto"/>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tLeast"/>
              <w:ind w:left="0" w:right="0"/>
              <w:jc w:val="left"/>
              <w:textAlignment w:val="auto"/>
              <w:outlineLvl w:val="9"/>
              <w:rPr>
                <w:rFonts w:hint="eastAsia" w:ascii="仿宋_GB2312" w:hAnsi="仿宋_GB2312" w:eastAsia="仿宋_GB2312" w:cs="仿宋_GB2312"/>
                <w:b w:val="0"/>
                <w:bCs w:val="0"/>
                <w:color w:val="auto"/>
                <w:sz w:val="18"/>
                <w:szCs w:val="18"/>
                <w:lang w:eastAsia="zh-CN"/>
              </w:rPr>
            </w:pPr>
            <w:r>
              <w:rPr>
                <w:rFonts w:hint="eastAsia" w:ascii="仿宋_GB2312" w:hAnsi="仿宋_GB2312" w:eastAsia="仿宋_GB2312" w:cs="仿宋_GB2312"/>
                <w:b w:val="0"/>
                <w:bCs w:val="0"/>
                <w:color w:val="auto"/>
                <w:sz w:val="18"/>
                <w:szCs w:val="18"/>
                <w:lang w:val="en-US" w:eastAsia="zh-CN"/>
              </w:rPr>
              <w:t>计算机、网络、通信、影视媒体</w:t>
            </w:r>
          </w:p>
        </w:tc>
        <w:tc>
          <w:tcPr>
            <w:tcW w:w="1189" w:type="dxa"/>
            <w:shd w:val="clear" w:color="auto" w:fill="auto"/>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tLeast"/>
              <w:ind w:left="0" w:right="0"/>
              <w:jc w:val="left"/>
              <w:textAlignment w:val="auto"/>
              <w:outlineLvl w:val="9"/>
              <w:rPr>
                <w:rFonts w:hint="eastAsia" w:ascii="仿宋_GB2312" w:hAnsi="仿宋_GB2312" w:eastAsia="仿宋_GB2312" w:cs="仿宋_GB2312"/>
                <w:b w:val="0"/>
                <w:bCs w:val="0"/>
                <w:color w:val="auto"/>
                <w:sz w:val="18"/>
                <w:szCs w:val="18"/>
                <w:lang w:eastAsia="zh-CN"/>
              </w:rPr>
            </w:pPr>
            <w:r>
              <w:rPr>
                <w:rFonts w:hint="eastAsia" w:ascii="仿宋_GB2312" w:hAnsi="仿宋_GB2312" w:eastAsia="仿宋_GB2312" w:cs="仿宋_GB2312"/>
                <w:b w:val="0"/>
                <w:bCs w:val="0"/>
                <w:color w:val="auto"/>
                <w:sz w:val="18"/>
                <w:szCs w:val="18"/>
                <w:lang w:val="en-US" w:eastAsia="zh-CN"/>
              </w:rPr>
              <w:t>全日制大专及以上</w:t>
            </w:r>
          </w:p>
        </w:tc>
        <w:tc>
          <w:tcPr>
            <w:tcW w:w="2591" w:type="dxa"/>
            <w:shd w:val="clear" w:color="auto" w:fill="auto"/>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tLeast"/>
              <w:ind w:left="0" w:right="0"/>
              <w:jc w:val="left"/>
              <w:textAlignment w:val="auto"/>
              <w:outlineLvl w:val="9"/>
              <w:rPr>
                <w:rFonts w:hint="eastAsia" w:ascii="仿宋_GB2312" w:hAnsi="仿宋_GB2312" w:eastAsia="仿宋_GB2312" w:cs="仿宋_GB2312"/>
                <w:b w:val="0"/>
                <w:bCs w:val="0"/>
                <w:color w:val="auto"/>
                <w:sz w:val="18"/>
                <w:szCs w:val="18"/>
                <w:lang w:val="en-US" w:eastAsia="zh-CN"/>
              </w:rPr>
            </w:pPr>
            <w:r>
              <w:rPr>
                <w:rFonts w:hint="eastAsia" w:ascii="仿宋_GB2312" w:hAnsi="仿宋_GB2312" w:eastAsia="仿宋_GB2312" w:cs="仿宋_GB2312"/>
                <w:b w:val="0"/>
                <w:bCs w:val="0"/>
                <w:color w:val="auto"/>
                <w:sz w:val="18"/>
                <w:szCs w:val="18"/>
                <w:lang w:val="en-US" w:eastAsia="zh-CN"/>
              </w:rPr>
              <w:t>22到30周岁，熟悉使用办公软件、设计软件、掌握视频拍摄和后期技能的优先考虑。</w:t>
            </w:r>
          </w:p>
        </w:tc>
        <w:tc>
          <w:tcPr>
            <w:tcW w:w="3105" w:type="dxa"/>
            <w:vMerge w:val="restart"/>
            <w:shd w:val="clear" w:color="auto" w:fill="auto"/>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tLeast"/>
              <w:ind w:right="0" w:rightChars="0"/>
              <w:jc w:val="left"/>
              <w:textAlignment w:val="auto"/>
              <w:outlineLvl w:val="9"/>
              <w:rPr>
                <w:rFonts w:hint="eastAsia" w:ascii="仿宋_GB2312" w:hAnsi="仿宋_GB2312" w:eastAsia="仿宋_GB2312" w:cs="仿宋_GB2312"/>
                <w:b w:val="0"/>
                <w:bCs w:val="0"/>
                <w:color w:val="auto"/>
                <w:sz w:val="18"/>
                <w:szCs w:val="18"/>
                <w:lang w:val="en-US" w:eastAsia="zh-CN"/>
              </w:rPr>
            </w:pPr>
            <w:r>
              <w:rPr>
                <w:rFonts w:hint="eastAsia" w:ascii="仿宋_GB2312" w:hAnsi="仿宋_GB2312" w:eastAsia="仿宋_GB2312" w:cs="仿宋_GB2312"/>
                <w:b w:val="0"/>
                <w:bCs w:val="0"/>
                <w:color w:val="auto"/>
                <w:sz w:val="18"/>
                <w:szCs w:val="18"/>
                <w:lang w:val="en-US" w:eastAsia="zh-CN"/>
              </w:rPr>
              <w:t>1、具有中华人民共和国国籍，拥护《中华人民共和国宪法》。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tLeast"/>
              <w:ind w:right="0" w:rightChars="0"/>
              <w:jc w:val="left"/>
              <w:textAlignment w:val="auto"/>
              <w:outlineLvl w:val="9"/>
              <w:rPr>
                <w:rFonts w:hint="eastAsia" w:ascii="仿宋_GB2312" w:hAnsi="仿宋_GB2312" w:eastAsia="仿宋_GB2312" w:cs="仿宋_GB2312"/>
                <w:b w:val="0"/>
                <w:bCs w:val="0"/>
                <w:color w:val="auto"/>
                <w:sz w:val="18"/>
                <w:szCs w:val="18"/>
                <w:lang w:val="en-US" w:eastAsia="zh-CN"/>
              </w:rPr>
            </w:pPr>
            <w:r>
              <w:rPr>
                <w:rFonts w:hint="eastAsia" w:ascii="仿宋_GB2312" w:hAnsi="仿宋_GB2312" w:eastAsia="仿宋_GB2312" w:cs="仿宋_GB2312"/>
                <w:b w:val="0"/>
                <w:bCs w:val="0"/>
                <w:color w:val="auto"/>
                <w:sz w:val="18"/>
                <w:szCs w:val="18"/>
                <w:lang w:val="en-US" w:eastAsia="zh-CN"/>
              </w:rPr>
              <w:t>2、遵纪守法，服从安排，具有较强的组织纪律观念，无违法违纪记录。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tLeast"/>
              <w:ind w:right="0" w:rightChars="0"/>
              <w:jc w:val="left"/>
              <w:textAlignment w:val="auto"/>
              <w:outlineLvl w:val="9"/>
              <w:rPr>
                <w:rFonts w:hint="default" w:ascii="仿宋_GB2312" w:hAnsi="仿宋_GB2312" w:eastAsia="仿宋_GB2312" w:cs="仿宋_GB2312"/>
                <w:b w:val="0"/>
                <w:bCs w:val="0"/>
                <w:color w:val="auto"/>
                <w:sz w:val="18"/>
                <w:szCs w:val="18"/>
                <w:lang w:val="en-US" w:eastAsia="zh-CN"/>
              </w:rPr>
            </w:pPr>
            <w:r>
              <w:rPr>
                <w:rFonts w:hint="eastAsia" w:ascii="仿宋_GB2312" w:hAnsi="仿宋_GB2312" w:eastAsia="仿宋_GB2312" w:cs="仿宋_GB2312"/>
                <w:b w:val="0"/>
                <w:bCs w:val="0"/>
                <w:color w:val="auto"/>
                <w:sz w:val="18"/>
                <w:szCs w:val="18"/>
                <w:lang w:val="en-US" w:eastAsia="zh-CN"/>
              </w:rPr>
              <w:t>3、自愿从事灭火救援工作服从消防队的管理，符合《消防员职业健康》规定的身体条件，体貌端正，无残疾，无重听，无色盲，无传染性疾病。</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jc w:val="center"/>
              <w:rPr>
                <w:rFonts w:hint="eastAsia" w:ascii="仿宋_GB2312" w:hAnsi="仿宋_GB2312" w:eastAsia="仿宋_GB2312" w:cs="仿宋_GB2312"/>
                <w:b w:val="0"/>
                <w:bCs w:val="0"/>
                <w:color w:val="auto"/>
                <w:sz w:val="18"/>
                <w:szCs w:val="18"/>
                <w:lang w:val="en-US" w:eastAsia="zh-CN"/>
              </w:rPr>
            </w:pPr>
            <w:r>
              <w:rPr>
                <w:rFonts w:hint="eastAsia" w:ascii="仿宋_GB2312" w:hAnsi="仿宋_GB2312" w:eastAsia="仿宋_GB2312" w:cs="仿宋_GB2312"/>
                <w:b w:val="0"/>
                <w:bCs w:val="0"/>
                <w:color w:val="auto"/>
                <w:sz w:val="18"/>
                <w:szCs w:val="18"/>
                <w:lang w:val="en-US" w:eastAsia="zh-CN"/>
              </w:rPr>
              <w:t>4、在同等条件下，退役消防员或退役军人优先，有球类（篮球、足球、羽毛球、乒乓球等）、文艺特长、电脑维修、车辆维修、水电维修、文书写作等特长、C2驾驶证以上的优先考虑。</w:t>
            </w:r>
          </w:p>
        </w:tc>
        <w:tc>
          <w:tcPr>
            <w:tcW w:w="945" w:type="dxa"/>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jc w:val="center"/>
              <w:rPr>
                <w:rFonts w:hint="default" w:ascii="仿宋_GB2312" w:hAnsi="仿宋_GB2312" w:eastAsia="仿宋_GB2312" w:cs="仿宋_GB2312"/>
                <w:b w:val="0"/>
                <w:bCs w:val="0"/>
                <w:color w:val="auto"/>
                <w:sz w:val="18"/>
                <w:szCs w:val="18"/>
                <w:lang w:val="en-US" w:eastAsia="zh-CN"/>
              </w:rPr>
            </w:pPr>
            <w:r>
              <w:rPr>
                <w:rFonts w:hint="eastAsia" w:ascii="仿宋_GB2312" w:hAnsi="仿宋_GB2312" w:eastAsia="仿宋_GB2312" w:cs="仿宋_GB2312"/>
                <w:b w:val="0"/>
                <w:bCs w:val="0"/>
                <w:color w:val="auto"/>
                <w:sz w:val="18"/>
                <w:szCs w:val="18"/>
                <w:lang w:val="en-US" w:eastAsia="zh-CN"/>
              </w:rPr>
              <w:t>1</w:t>
            </w:r>
          </w:p>
        </w:tc>
        <w:tc>
          <w:tcPr>
            <w:tcW w:w="1125" w:type="dxa"/>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jc w:val="center"/>
              <w:rPr>
                <w:rFonts w:hint="eastAsia" w:ascii="仿宋_GB2312" w:hAnsi="仿宋_GB2312" w:eastAsia="仿宋_GB2312" w:cs="仿宋_GB2312"/>
                <w:b w:val="0"/>
                <w:bCs w:val="0"/>
                <w:color w:val="auto"/>
                <w:sz w:val="18"/>
                <w:szCs w:val="18"/>
                <w:lang w:val="en-US" w:eastAsia="zh-CN"/>
              </w:rPr>
            </w:pPr>
            <w:r>
              <w:rPr>
                <w:rFonts w:hint="eastAsia" w:ascii="仿宋_GB2312" w:hAnsi="仿宋_GB2312" w:eastAsia="仿宋_GB2312" w:cs="仿宋_GB2312"/>
                <w:b w:val="0"/>
                <w:bCs w:val="0"/>
                <w:color w:val="auto"/>
                <w:sz w:val="18"/>
                <w:szCs w:val="18"/>
                <w:lang w:val="en-US" w:eastAsia="zh-CN"/>
              </w:rPr>
              <w:t>8到10万元/年，24小时驻岗，每月休4-6天（轮休）。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47" w:type="dxa"/>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rPr>
                <w:rFonts w:hint="default" w:ascii="仿宋_GB2312" w:hAnsi="仿宋_GB2312" w:eastAsia="仿宋_GB2312" w:cs="仿宋_GB2312"/>
                <w:b/>
                <w:bCs/>
                <w:color w:val="auto"/>
                <w:sz w:val="24"/>
                <w:szCs w:val="24"/>
                <w:lang w:val="en-US" w:eastAsia="zh-CN"/>
              </w:rPr>
            </w:pPr>
            <w:r>
              <w:rPr>
                <w:rFonts w:hint="eastAsia" w:ascii="仿宋_GB2312" w:hAnsi="仿宋_GB2312" w:eastAsia="仿宋_GB2312" w:cs="仿宋_GB2312"/>
                <w:b/>
                <w:bCs/>
                <w:color w:val="auto"/>
                <w:sz w:val="24"/>
                <w:szCs w:val="24"/>
                <w:lang w:val="en-US" w:eastAsia="zh-CN"/>
              </w:rPr>
              <w:t>4</w:t>
            </w:r>
          </w:p>
        </w:tc>
        <w:tc>
          <w:tcPr>
            <w:tcW w:w="864" w:type="dxa"/>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rPr>
                <w:rFonts w:hint="eastAsia" w:ascii="仿宋_GB2312" w:hAnsi="仿宋_GB2312" w:eastAsia="仿宋_GB2312" w:cs="仿宋_GB2312"/>
                <w:b/>
                <w:bCs/>
                <w:color w:val="auto"/>
                <w:sz w:val="18"/>
                <w:szCs w:val="18"/>
                <w:lang w:eastAsia="zh-CN"/>
              </w:rPr>
            </w:pPr>
            <w:r>
              <w:rPr>
                <w:rFonts w:hint="eastAsia" w:ascii="仿宋_GB2312" w:hAnsi="仿宋_GB2312" w:eastAsia="仿宋_GB2312" w:cs="仿宋_GB2312"/>
                <w:b/>
                <w:bCs/>
                <w:color w:val="auto"/>
                <w:sz w:val="18"/>
                <w:szCs w:val="18"/>
                <w:lang w:eastAsia="zh-CN"/>
              </w:rPr>
              <w:t>行政岗</w:t>
            </w:r>
          </w:p>
        </w:tc>
        <w:tc>
          <w:tcPr>
            <w:tcW w:w="811" w:type="dxa"/>
            <w:shd w:val="clear" w:color="auto" w:fill="auto"/>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auto"/>
              <w:outlineLvl w:val="9"/>
              <w:rPr>
                <w:rFonts w:hint="eastAsia" w:ascii="仿宋_GB2312" w:hAnsi="仿宋_GB2312" w:eastAsia="仿宋_GB2312" w:cs="仿宋_GB2312"/>
                <w:b w:val="0"/>
                <w:bCs w:val="0"/>
                <w:color w:val="auto"/>
                <w:sz w:val="18"/>
                <w:szCs w:val="18"/>
                <w:lang w:eastAsia="zh-CN"/>
              </w:rPr>
            </w:pPr>
            <w:r>
              <w:rPr>
                <w:rFonts w:hint="eastAsia" w:ascii="仿宋_GB2312" w:hAnsi="仿宋_GB2312" w:eastAsia="仿宋_GB2312" w:cs="仿宋_GB2312"/>
                <w:b w:val="0"/>
                <w:bCs w:val="0"/>
                <w:color w:val="auto"/>
                <w:sz w:val="18"/>
                <w:szCs w:val="18"/>
                <w:lang w:eastAsia="zh-CN"/>
              </w:rPr>
              <w:t>文</w:t>
            </w:r>
            <w:r>
              <w:rPr>
                <w:rFonts w:hint="eastAsia" w:ascii="仿宋_GB2312" w:hAnsi="仿宋_GB2312" w:eastAsia="仿宋_GB2312" w:cs="仿宋_GB2312"/>
                <w:b w:val="0"/>
                <w:bCs w:val="0"/>
                <w:color w:val="auto"/>
                <w:sz w:val="18"/>
                <w:szCs w:val="18"/>
                <w:lang w:val="en-US" w:eastAsia="zh-CN"/>
              </w:rPr>
              <w:t xml:space="preserve">  </w:t>
            </w:r>
            <w:r>
              <w:rPr>
                <w:rFonts w:hint="eastAsia" w:ascii="仿宋_GB2312" w:hAnsi="仿宋_GB2312" w:eastAsia="仿宋_GB2312" w:cs="仿宋_GB2312"/>
                <w:b w:val="0"/>
                <w:bCs w:val="0"/>
                <w:color w:val="auto"/>
                <w:sz w:val="18"/>
                <w:szCs w:val="18"/>
                <w:lang w:eastAsia="zh-CN"/>
              </w:rPr>
              <w:t>秘</w:t>
            </w:r>
          </w:p>
        </w:tc>
        <w:tc>
          <w:tcPr>
            <w:tcW w:w="711" w:type="dxa"/>
            <w:shd w:val="clear" w:color="auto" w:fill="auto"/>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auto"/>
              <w:outlineLvl w:val="9"/>
              <w:rPr>
                <w:rFonts w:hint="eastAsia" w:ascii="仿宋_GB2312" w:hAnsi="仿宋_GB2312" w:eastAsia="仿宋_GB2312" w:cs="仿宋_GB2312"/>
                <w:b w:val="0"/>
                <w:bCs w:val="0"/>
                <w:color w:val="auto"/>
                <w:sz w:val="18"/>
                <w:szCs w:val="18"/>
                <w:lang w:eastAsia="zh-CN"/>
              </w:rPr>
            </w:pPr>
            <w:r>
              <w:rPr>
                <w:rFonts w:hint="eastAsia" w:ascii="仿宋_GB2312" w:hAnsi="仿宋_GB2312" w:eastAsia="仿宋_GB2312" w:cs="仿宋_GB2312"/>
                <w:b w:val="0"/>
                <w:bCs w:val="0"/>
                <w:color w:val="auto"/>
                <w:sz w:val="18"/>
                <w:szCs w:val="18"/>
                <w:lang w:eastAsia="zh-CN"/>
              </w:rPr>
              <w:t>不限</w:t>
            </w:r>
          </w:p>
        </w:tc>
        <w:tc>
          <w:tcPr>
            <w:tcW w:w="1024" w:type="dxa"/>
            <w:shd w:val="clear" w:color="auto" w:fill="auto"/>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auto"/>
              <w:outlineLvl w:val="9"/>
              <w:rPr>
                <w:rFonts w:hint="eastAsia" w:ascii="仿宋_GB2312" w:hAnsi="仿宋_GB2312" w:eastAsia="仿宋_GB2312" w:cs="仿宋_GB2312"/>
                <w:b w:val="0"/>
                <w:bCs w:val="0"/>
                <w:color w:val="auto"/>
                <w:sz w:val="18"/>
                <w:szCs w:val="18"/>
                <w:lang w:eastAsia="zh-CN"/>
              </w:rPr>
            </w:pPr>
            <w:r>
              <w:rPr>
                <w:rFonts w:hint="eastAsia" w:ascii="仿宋_GB2312" w:hAnsi="仿宋_GB2312" w:eastAsia="仿宋_GB2312" w:cs="仿宋_GB2312"/>
                <w:b w:val="0"/>
                <w:bCs w:val="0"/>
                <w:color w:val="auto"/>
                <w:sz w:val="18"/>
                <w:szCs w:val="18"/>
                <w:lang w:eastAsia="zh-CN"/>
              </w:rPr>
              <w:t>中文、汉语言文学、文秘、新闻、师范类相关专业</w:t>
            </w:r>
          </w:p>
        </w:tc>
        <w:tc>
          <w:tcPr>
            <w:tcW w:w="1189" w:type="dxa"/>
            <w:shd w:val="clear" w:color="auto" w:fill="auto"/>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auto"/>
              <w:outlineLvl w:val="9"/>
              <w:rPr>
                <w:rFonts w:hint="eastAsia" w:ascii="仿宋_GB2312" w:hAnsi="仿宋_GB2312" w:eastAsia="仿宋_GB2312" w:cs="仿宋_GB2312"/>
                <w:b w:val="0"/>
                <w:bCs w:val="0"/>
                <w:color w:val="auto"/>
                <w:sz w:val="18"/>
                <w:szCs w:val="18"/>
                <w:lang w:eastAsia="zh-CN"/>
              </w:rPr>
            </w:pPr>
            <w:r>
              <w:rPr>
                <w:rFonts w:hint="eastAsia" w:ascii="仿宋_GB2312" w:hAnsi="仿宋_GB2312" w:eastAsia="仿宋_GB2312" w:cs="仿宋_GB2312"/>
                <w:b w:val="0"/>
                <w:bCs w:val="0"/>
                <w:color w:val="auto"/>
                <w:sz w:val="18"/>
                <w:szCs w:val="18"/>
                <w:lang w:eastAsia="zh-CN"/>
              </w:rPr>
              <w:t>全日制本科及以上</w:t>
            </w:r>
          </w:p>
        </w:tc>
        <w:tc>
          <w:tcPr>
            <w:tcW w:w="2591" w:type="dxa"/>
            <w:shd w:val="clear" w:color="auto" w:fill="auto"/>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tLeast"/>
              <w:ind w:left="0" w:leftChars="0" w:right="0" w:rightChars="0"/>
              <w:jc w:val="left"/>
              <w:textAlignment w:val="auto"/>
              <w:outlineLvl w:val="9"/>
              <w:rPr>
                <w:rFonts w:hint="eastAsia" w:ascii="仿宋_GB2312" w:hAnsi="仿宋_GB2312" w:eastAsia="仿宋_GB2312" w:cs="仿宋_GB2312"/>
                <w:b w:val="0"/>
                <w:bCs w:val="0"/>
                <w:color w:val="auto"/>
                <w:sz w:val="18"/>
                <w:szCs w:val="18"/>
                <w:lang w:val="en-US" w:eastAsia="zh-CN"/>
              </w:rPr>
            </w:pPr>
            <w:r>
              <w:rPr>
                <w:rFonts w:hint="eastAsia" w:ascii="仿宋_GB2312" w:hAnsi="仿宋_GB2312" w:eastAsia="仿宋_GB2312" w:cs="仿宋_GB2312"/>
                <w:b w:val="0"/>
                <w:bCs w:val="0"/>
                <w:color w:val="auto"/>
                <w:sz w:val="18"/>
                <w:szCs w:val="18"/>
                <w:lang w:val="en-US" w:eastAsia="zh-CN"/>
              </w:rPr>
              <w:t>22到30周岁，熟练使用办公软件，具有较强的文字功底，擅长公文、党政材料的撰写，有党政机关、企事业单位文秘工作经验优先考虑。</w:t>
            </w:r>
          </w:p>
        </w:tc>
        <w:tc>
          <w:tcPr>
            <w:tcW w:w="3105" w:type="dxa"/>
            <w:vMerge w:val="continue"/>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jc w:val="center"/>
              <w:rPr>
                <w:rFonts w:hint="eastAsia" w:ascii="仿宋_GB2312" w:hAnsi="仿宋_GB2312" w:eastAsia="仿宋_GB2312" w:cs="仿宋_GB2312"/>
                <w:b w:val="0"/>
                <w:bCs w:val="0"/>
                <w:color w:val="auto"/>
                <w:sz w:val="18"/>
                <w:szCs w:val="18"/>
                <w:lang w:val="en-US" w:eastAsia="zh-CN"/>
              </w:rPr>
            </w:pPr>
          </w:p>
        </w:tc>
        <w:tc>
          <w:tcPr>
            <w:tcW w:w="945" w:type="dxa"/>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jc w:val="center"/>
              <w:rPr>
                <w:rFonts w:hint="eastAsia" w:ascii="仿宋_GB2312" w:hAnsi="仿宋_GB2312" w:eastAsia="仿宋_GB2312" w:cs="仿宋_GB2312"/>
                <w:b w:val="0"/>
                <w:bCs w:val="0"/>
                <w:color w:val="auto"/>
                <w:sz w:val="18"/>
                <w:szCs w:val="18"/>
                <w:lang w:val="en-US" w:eastAsia="zh-CN"/>
              </w:rPr>
            </w:pPr>
            <w:r>
              <w:rPr>
                <w:rFonts w:hint="eastAsia" w:ascii="仿宋_GB2312" w:hAnsi="仿宋_GB2312" w:eastAsia="仿宋_GB2312" w:cs="仿宋_GB2312"/>
                <w:b w:val="0"/>
                <w:bCs w:val="0"/>
                <w:color w:val="auto"/>
                <w:sz w:val="18"/>
                <w:szCs w:val="18"/>
                <w:lang w:val="en-US" w:eastAsia="zh-CN"/>
              </w:rPr>
              <w:t>1</w:t>
            </w:r>
          </w:p>
        </w:tc>
        <w:tc>
          <w:tcPr>
            <w:tcW w:w="1125" w:type="dxa"/>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jc w:val="left"/>
              <w:rPr>
                <w:rFonts w:hint="default" w:ascii="仿宋_GB2312" w:hAnsi="仿宋_GB2312" w:eastAsia="仿宋_GB2312" w:cs="仿宋_GB2312"/>
                <w:b w:val="0"/>
                <w:bCs w:val="0"/>
                <w:color w:val="auto"/>
                <w:sz w:val="18"/>
                <w:szCs w:val="18"/>
                <w:lang w:val="en-US" w:eastAsia="zh-CN"/>
              </w:rPr>
            </w:pPr>
            <w:r>
              <w:rPr>
                <w:rFonts w:hint="eastAsia" w:ascii="仿宋_GB2312" w:hAnsi="仿宋_GB2312" w:eastAsia="仿宋_GB2312" w:cs="仿宋_GB2312"/>
                <w:b w:val="0"/>
                <w:bCs w:val="0"/>
                <w:color w:val="auto"/>
                <w:sz w:val="18"/>
                <w:szCs w:val="18"/>
                <w:lang w:val="en-US" w:eastAsia="zh-CN"/>
              </w:rPr>
              <w:t>7到10万元/年，24小时驻岗，月休6-8天（轮休）</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0" w:firstLine="420"/>
        <w:jc w:val="left"/>
        <w:rPr>
          <w:rFonts w:hint="eastAsia" w:ascii="仿宋_GB2312" w:hAnsi="仿宋_GB2312" w:eastAsia="仿宋_GB2312" w:cs="仿宋_GB2312"/>
          <w:i w:val="0"/>
          <w:caps w:val="0"/>
          <w:color w:val="auto"/>
          <w:spacing w:val="0"/>
          <w:sz w:val="28"/>
          <w:szCs w:val="28"/>
          <w:u w:val="none"/>
          <w:shd w:val="clear" w:fill="FFFFFF"/>
          <w:lang w:val="en-US" w:eastAsia="zh-CN"/>
        </w:rPr>
      </w:pPr>
    </w:p>
    <w:p>
      <w:bookmarkStart w:id="0" w:name="_GoBack"/>
      <w:bookmarkEnd w:id="0"/>
    </w:p>
    <w:sectPr>
      <w:pgSz w:w="16838" w:h="11906" w:orient="landscape"/>
      <w:pgMar w:top="1587" w:right="2098" w:bottom="1474" w:left="1984" w:header="851" w:footer="992" w:gutter="0"/>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1" w:fontKey="{FDDD9845-58E4-464B-8002-C2943A2F4023}"/>
  </w:font>
  <w:font w:name="方正小标宋简体">
    <w:panose1 w:val="02000000000000000000"/>
    <w:charset w:val="86"/>
    <w:family w:val="auto"/>
    <w:pitch w:val="default"/>
    <w:sig w:usb0="00000001" w:usb1="08000000" w:usb2="00000000" w:usb3="00000000" w:csb0="00040000" w:csb1="00000000"/>
    <w:embedRegular r:id="rId2" w:fontKey="{F90BF29F-C445-48DB-A53A-E3037B50BF52}"/>
  </w:font>
  <w:font w:name="仿宋_GB2312">
    <w:altName w:val="仿宋"/>
    <w:panose1 w:val="02010609030101010101"/>
    <w:charset w:val="86"/>
    <w:family w:val="auto"/>
    <w:pitch w:val="default"/>
    <w:sig w:usb0="00000000" w:usb1="00000000" w:usb2="00000000" w:usb3="00000000" w:csb0="00040000" w:csb1="00000000"/>
    <w:embedRegular r:id="rId3" w:fontKey="{0241A68E-956E-42F6-8539-C93432D1E6C4}"/>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I5NTAyOWQ5ZDY5OWJjYTZlM2I3NDdmNjFlMzY0N2EifQ=="/>
  </w:docVars>
  <w:rsids>
    <w:rsidRoot w:val="00000000"/>
    <w:rsid w:val="0D0357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2022-09-14T03:23:41Z</dcterms:created>
  <dc:creator>Administrator</dc:creator>
  <cp:lastModifiedBy>新雄</cp:lastModifiedBy>
  <dcterms:modified xsi:type="dcterms:W3CDTF">2022-09-14T03:23:49Z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5DFEF51853EE42BCAAA5EA0CE025B9D1</vt:lpwstr>
  </property>
</Properties>
</file>