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60" w:lineRule="exact"/>
        <w:rPr>
          <w:rFonts w:ascii="仿宋" w:hAnsi="仿宋" w:eastAsia="仿宋" w:cs="Times New Roman"/>
          <w:color w:val="333333"/>
          <w:kern w:val="0"/>
          <w:sz w:val="32"/>
          <w:szCs w:val="32"/>
        </w:rPr>
      </w:pPr>
    </w:p>
    <w:p>
      <w:pPr>
        <w:widowControl/>
        <w:shd w:val="clear" w:color="auto" w:fill="FFFFFF"/>
        <w:spacing w:line="660" w:lineRule="exact"/>
        <w:jc w:val="center"/>
        <w:rPr>
          <w:rFonts w:ascii="宋体" w:cs="宋体"/>
          <w:b/>
          <w:bCs/>
          <w:color w:val="333333"/>
          <w:kern w:val="0"/>
          <w:sz w:val="44"/>
          <w:szCs w:val="44"/>
        </w:rPr>
      </w:pPr>
      <w:r>
        <w:rPr>
          <w:rFonts w:hint="eastAsia" w:ascii="宋体" w:hAnsi="宋体" w:cs="宋体"/>
          <w:b/>
          <w:bCs/>
          <w:color w:val="333333"/>
          <w:kern w:val="0"/>
          <w:sz w:val="44"/>
          <w:szCs w:val="44"/>
        </w:rPr>
        <w:t>省关于一次性缴纳企业职工</w:t>
      </w:r>
    </w:p>
    <w:p>
      <w:pPr>
        <w:widowControl/>
        <w:shd w:val="clear" w:color="auto" w:fill="FFFFFF"/>
        <w:spacing w:line="660" w:lineRule="exact"/>
        <w:jc w:val="center"/>
        <w:rPr>
          <w:rFonts w:ascii="宋体" w:cs="宋体"/>
          <w:b/>
          <w:bCs/>
          <w:color w:val="333333"/>
          <w:kern w:val="0"/>
          <w:sz w:val="44"/>
          <w:szCs w:val="44"/>
        </w:rPr>
      </w:pPr>
      <w:r>
        <w:rPr>
          <w:rFonts w:hint="eastAsia" w:ascii="宋体" w:hAnsi="宋体" w:cs="宋体"/>
          <w:b/>
          <w:bCs/>
          <w:color w:val="333333"/>
          <w:kern w:val="0"/>
          <w:sz w:val="44"/>
          <w:szCs w:val="44"/>
        </w:rPr>
        <w:t>基本养老保险费的文件目录</w:t>
      </w:r>
    </w:p>
    <w:p>
      <w:pPr>
        <w:widowControl/>
        <w:shd w:val="clear" w:color="auto" w:fill="FFFFFF"/>
        <w:spacing w:line="660" w:lineRule="exact"/>
        <w:ind w:firstLine="640"/>
        <w:rPr>
          <w:rFonts w:ascii="仿宋" w:hAnsi="仿宋" w:eastAsia="仿宋" w:cs="Times New Roman"/>
          <w:color w:val="333333"/>
          <w:kern w:val="0"/>
          <w:sz w:val="32"/>
          <w:szCs w:val="32"/>
        </w:rPr>
      </w:pPr>
      <w:r>
        <w:rPr>
          <w:rFonts w:ascii="Times New Roman" w:hAnsi="Times New Roman" w:eastAsia="仿宋" w:cs="Times New Roman"/>
          <w:color w:val="333333"/>
          <w:kern w:val="0"/>
          <w:sz w:val="32"/>
          <w:szCs w:val="32"/>
        </w:rPr>
        <w:t> </w:t>
      </w:r>
    </w:p>
    <w:p>
      <w:pPr>
        <w:widowControl/>
        <w:shd w:val="clear" w:color="auto" w:fill="FFFFFF"/>
        <w:spacing w:line="660" w:lineRule="exact"/>
        <w:ind w:firstLine="640"/>
        <w:rPr>
          <w:rFonts w:ascii="仿宋" w:hAnsi="仿宋" w:eastAsia="仿宋" w:cs="Times New Roman"/>
          <w:color w:val="333333"/>
          <w:kern w:val="0"/>
          <w:sz w:val="32"/>
          <w:szCs w:val="32"/>
        </w:rPr>
      </w:pPr>
      <w:r>
        <w:rPr>
          <w:rFonts w:hint="eastAsia" w:ascii="仿宋" w:hAnsi="仿宋" w:eastAsia="仿宋" w:cs="仿宋"/>
          <w:color w:val="333333"/>
          <w:kern w:val="0"/>
          <w:sz w:val="32"/>
          <w:szCs w:val="32"/>
        </w:rPr>
        <w:t>一、原省劳动和社会保障厅《关于解决早期离开省属国有集体企业人员社会保险问题的通知》（粤劳社发〔</w:t>
      </w:r>
      <w:r>
        <w:rPr>
          <w:rFonts w:ascii="仿宋" w:hAnsi="仿宋" w:eastAsia="仿宋" w:cs="仿宋"/>
          <w:color w:val="333333"/>
          <w:kern w:val="0"/>
          <w:sz w:val="32"/>
          <w:szCs w:val="32"/>
        </w:rPr>
        <w:t>2008</w:t>
      </w:r>
      <w:r>
        <w:rPr>
          <w:rFonts w:hint="eastAsia" w:ascii="仿宋" w:hAnsi="仿宋" w:eastAsia="仿宋" w:cs="仿宋"/>
          <w:color w:val="333333"/>
          <w:kern w:val="0"/>
          <w:sz w:val="32"/>
          <w:szCs w:val="32"/>
        </w:rPr>
        <w:t>〕</w:t>
      </w:r>
      <w:r>
        <w:rPr>
          <w:rFonts w:ascii="仿宋" w:hAnsi="仿宋" w:eastAsia="仿宋" w:cs="仿宋"/>
          <w:color w:val="333333"/>
          <w:kern w:val="0"/>
          <w:sz w:val="32"/>
          <w:szCs w:val="32"/>
        </w:rPr>
        <w:t>7</w:t>
      </w:r>
      <w:r>
        <w:rPr>
          <w:rFonts w:hint="eastAsia" w:ascii="仿宋" w:hAnsi="仿宋" w:eastAsia="仿宋" w:cs="仿宋"/>
          <w:color w:val="333333"/>
          <w:kern w:val="0"/>
          <w:sz w:val="32"/>
          <w:szCs w:val="32"/>
        </w:rPr>
        <w:t>号）、《关于早期离开国有集体企业人员申请一次性养老保险缴费有关问题的通知》（粤劳社发〔</w:t>
      </w:r>
      <w:r>
        <w:rPr>
          <w:rFonts w:ascii="仿宋" w:hAnsi="仿宋" w:eastAsia="仿宋" w:cs="仿宋"/>
          <w:color w:val="333333"/>
          <w:kern w:val="0"/>
          <w:sz w:val="32"/>
          <w:szCs w:val="32"/>
        </w:rPr>
        <w:t>2009</w:t>
      </w:r>
      <w:r>
        <w:rPr>
          <w:rFonts w:hint="eastAsia" w:ascii="仿宋" w:hAnsi="仿宋" w:eastAsia="仿宋" w:cs="仿宋"/>
          <w:color w:val="333333"/>
          <w:kern w:val="0"/>
          <w:sz w:val="32"/>
          <w:szCs w:val="32"/>
        </w:rPr>
        <w:t>〕</w:t>
      </w:r>
      <w:r>
        <w:rPr>
          <w:rFonts w:ascii="仿宋" w:hAnsi="仿宋" w:eastAsia="仿宋" w:cs="仿宋"/>
          <w:color w:val="333333"/>
          <w:kern w:val="0"/>
          <w:sz w:val="32"/>
          <w:szCs w:val="32"/>
        </w:rPr>
        <w:t>12</w:t>
      </w:r>
      <w:r>
        <w:rPr>
          <w:rFonts w:hint="eastAsia" w:ascii="仿宋" w:hAnsi="仿宋" w:eastAsia="仿宋" w:cs="仿宋"/>
          <w:color w:val="333333"/>
          <w:kern w:val="0"/>
          <w:sz w:val="32"/>
          <w:szCs w:val="32"/>
        </w:rPr>
        <w:t>号）。</w:t>
      </w:r>
    </w:p>
    <w:p>
      <w:pPr>
        <w:widowControl/>
        <w:shd w:val="clear" w:color="auto" w:fill="FFFFFF"/>
        <w:spacing w:line="660" w:lineRule="exact"/>
        <w:ind w:firstLine="638"/>
        <w:rPr>
          <w:rFonts w:ascii="仿宋" w:hAnsi="仿宋" w:eastAsia="仿宋" w:cs="Times New Roman"/>
          <w:color w:val="333333"/>
          <w:kern w:val="0"/>
          <w:sz w:val="32"/>
          <w:szCs w:val="32"/>
        </w:rPr>
      </w:pPr>
      <w:r>
        <w:rPr>
          <w:rFonts w:hint="eastAsia" w:ascii="仿宋" w:hAnsi="仿宋" w:eastAsia="仿宋" w:cs="仿宋"/>
          <w:color w:val="333333"/>
          <w:kern w:val="0"/>
          <w:sz w:val="32"/>
          <w:szCs w:val="32"/>
        </w:rPr>
        <w:t>二、省人力资源和社会保障厅、财政厅《关于解决离开机关事业单位人员养老保险有关问题的通知》（粤人社发〔</w:t>
      </w:r>
      <w:r>
        <w:rPr>
          <w:rFonts w:ascii="仿宋" w:hAnsi="仿宋" w:eastAsia="仿宋" w:cs="仿宋"/>
          <w:color w:val="333333"/>
          <w:kern w:val="0"/>
          <w:sz w:val="32"/>
          <w:szCs w:val="32"/>
        </w:rPr>
        <w:t>2011</w:t>
      </w:r>
      <w:r>
        <w:rPr>
          <w:rFonts w:hint="eastAsia" w:ascii="仿宋" w:hAnsi="仿宋" w:eastAsia="仿宋" w:cs="仿宋"/>
          <w:color w:val="333333"/>
          <w:kern w:val="0"/>
          <w:sz w:val="32"/>
          <w:szCs w:val="32"/>
        </w:rPr>
        <w:t>〕</w:t>
      </w:r>
      <w:r>
        <w:rPr>
          <w:rFonts w:ascii="仿宋" w:hAnsi="仿宋" w:eastAsia="仿宋" w:cs="仿宋"/>
          <w:color w:val="333333"/>
          <w:kern w:val="0"/>
          <w:sz w:val="32"/>
          <w:szCs w:val="32"/>
        </w:rPr>
        <w:t>91</w:t>
      </w:r>
      <w:r>
        <w:rPr>
          <w:rFonts w:hint="eastAsia" w:ascii="仿宋" w:hAnsi="仿宋" w:eastAsia="仿宋" w:cs="仿宋"/>
          <w:color w:val="333333"/>
          <w:kern w:val="0"/>
          <w:sz w:val="32"/>
          <w:szCs w:val="32"/>
        </w:rPr>
        <w:t>号）。</w:t>
      </w:r>
    </w:p>
    <w:p>
      <w:pPr>
        <w:widowControl/>
        <w:shd w:val="clear" w:color="auto" w:fill="FFFFFF"/>
        <w:spacing w:line="660" w:lineRule="exact"/>
        <w:ind w:firstLine="638"/>
        <w:rPr>
          <w:rFonts w:ascii="仿宋" w:hAnsi="仿宋" w:eastAsia="仿宋" w:cs="Times New Roman"/>
          <w:color w:val="333333"/>
          <w:kern w:val="0"/>
          <w:sz w:val="32"/>
          <w:szCs w:val="32"/>
        </w:rPr>
      </w:pPr>
      <w:r>
        <w:rPr>
          <w:rFonts w:hint="eastAsia" w:ascii="仿宋" w:hAnsi="仿宋" w:eastAsia="仿宋" w:cs="仿宋"/>
          <w:color w:val="333333"/>
          <w:kern w:val="0"/>
          <w:sz w:val="32"/>
          <w:szCs w:val="32"/>
        </w:rPr>
        <w:t>三、省人力资源和社会保障厅、财政厅、地方税务局《关于妥善解决企业未参保人员纳入企业职工基本养老保险问题的通知》（粤人社发〔</w:t>
      </w:r>
      <w:r>
        <w:rPr>
          <w:rFonts w:ascii="仿宋" w:hAnsi="仿宋" w:eastAsia="仿宋" w:cs="仿宋"/>
          <w:color w:val="333333"/>
          <w:kern w:val="0"/>
          <w:sz w:val="32"/>
          <w:szCs w:val="32"/>
        </w:rPr>
        <w:t>2011</w:t>
      </w:r>
      <w:r>
        <w:rPr>
          <w:rFonts w:hint="eastAsia" w:ascii="仿宋" w:hAnsi="仿宋" w:eastAsia="仿宋" w:cs="仿宋"/>
          <w:color w:val="333333"/>
          <w:kern w:val="0"/>
          <w:sz w:val="32"/>
          <w:szCs w:val="32"/>
        </w:rPr>
        <w:t>〕</w:t>
      </w:r>
      <w:r>
        <w:rPr>
          <w:rFonts w:ascii="仿宋" w:hAnsi="仿宋" w:eastAsia="仿宋" w:cs="仿宋"/>
          <w:color w:val="333333"/>
          <w:kern w:val="0"/>
          <w:sz w:val="32"/>
          <w:szCs w:val="32"/>
        </w:rPr>
        <w:t>237</w:t>
      </w:r>
      <w:r>
        <w:rPr>
          <w:rFonts w:hint="eastAsia" w:ascii="仿宋" w:hAnsi="仿宋" w:eastAsia="仿宋" w:cs="仿宋"/>
          <w:color w:val="333333"/>
          <w:kern w:val="0"/>
          <w:sz w:val="32"/>
          <w:szCs w:val="32"/>
        </w:rPr>
        <w:t>号）。</w:t>
      </w:r>
    </w:p>
    <w:p>
      <w:pPr>
        <w:widowControl/>
        <w:shd w:val="clear" w:color="auto" w:fill="FFFFFF"/>
        <w:spacing w:line="660" w:lineRule="exact"/>
        <w:ind w:firstLine="638"/>
        <w:rPr>
          <w:rFonts w:ascii="仿宋" w:hAnsi="仿宋" w:eastAsia="仿宋" w:cs="Times New Roman"/>
          <w:color w:val="333333"/>
          <w:kern w:val="0"/>
          <w:sz w:val="32"/>
          <w:szCs w:val="32"/>
        </w:rPr>
      </w:pPr>
      <w:r>
        <w:rPr>
          <w:rFonts w:hint="eastAsia" w:ascii="仿宋" w:hAnsi="仿宋" w:eastAsia="仿宋" w:cs="仿宋"/>
          <w:color w:val="333333"/>
          <w:kern w:val="0"/>
          <w:sz w:val="32"/>
          <w:szCs w:val="32"/>
        </w:rPr>
        <w:t>四、省人力资源和社会保障厅、财政厅、地方税务局《转发人力资源和社会保障部、财政部关于解决未参保集体企业退休人员基本养老保障等遗留问题意见的通知》（粤人社发〔</w:t>
      </w:r>
      <w:r>
        <w:rPr>
          <w:rFonts w:ascii="仿宋" w:hAnsi="仿宋" w:eastAsia="仿宋" w:cs="仿宋"/>
          <w:color w:val="333333"/>
          <w:kern w:val="0"/>
          <w:sz w:val="32"/>
          <w:szCs w:val="32"/>
        </w:rPr>
        <w:t>2011</w:t>
      </w:r>
      <w:r>
        <w:rPr>
          <w:rFonts w:hint="eastAsia" w:ascii="仿宋" w:hAnsi="仿宋" w:eastAsia="仿宋" w:cs="仿宋"/>
          <w:color w:val="333333"/>
          <w:kern w:val="0"/>
          <w:sz w:val="32"/>
          <w:szCs w:val="32"/>
        </w:rPr>
        <w:t>〕</w:t>
      </w:r>
      <w:r>
        <w:rPr>
          <w:rFonts w:ascii="仿宋" w:hAnsi="仿宋" w:eastAsia="仿宋" w:cs="仿宋"/>
          <w:color w:val="333333"/>
          <w:kern w:val="0"/>
          <w:sz w:val="32"/>
          <w:szCs w:val="32"/>
        </w:rPr>
        <w:t>193</w:t>
      </w:r>
      <w:r>
        <w:rPr>
          <w:rFonts w:hint="eastAsia" w:ascii="仿宋" w:hAnsi="仿宋" w:eastAsia="仿宋" w:cs="仿宋"/>
          <w:color w:val="333333"/>
          <w:kern w:val="0"/>
          <w:sz w:val="32"/>
          <w:szCs w:val="32"/>
        </w:rPr>
        <w:t>号）。</w:t>
      </w:r>
    </w:p>
    <w:p>
      <w:pPr>
        <w:widowControl/>
        <w:shd w:val="clear" w:color="auto" w:fill="FFFFFF"/>
        <w:spacing w:line="660" w:lineRule="exact"/>
        <w:ind w:firstLine="638"/>
      </w:pPr>
      <w:r>
        <w:rPr>
          <w:rFonts w:hint="eastAsia" w:ascii="仿宋" w:hAnsi="仿宋" w:eastAsia="仿宋" w:cs="仿宋"/>
          <w:color w:val="333333"/>
          <w:kern w:val="0"/>
          <w:sz w:val="32"/>
          <w:szCs w:val="32"/>
        </w:rPr>
        <w:t>五、省人力资源和社会保障厅、民政厅、财政厅、卫生厅、地方税务局《关于切实解决早期下乡知青社会保障问题的通知》（粤人社发〔</w:t>
      </w:r>
      <w:r>
        <w:rPr>
          <w:rFonts w:ascii="仿宋" w:hAnsi="仿宋" w:eastAsia="仿宋" w:cs="仿宋"/>
          <w:color w:val="333333"/>
          <w:kern w:val="0"/>
          <w:sz w:val="32"/>
          <w:szCs w:val="32"/>
        </w:rPr>
        <w:t>2012</w:t>
      </w:r>
      <w:r>
        <w:rPr>
          <w:rFonts w:hint="eastAsia" w:ascii="仿宋" w:hAnsi="仿宋" w:eastAsia="仿宋" w:cs="仿宋"/>
          <w:color w:val="333333"/>
          <w:kern w:val="0"/>
          <w:sz w:val="32"/>
          <w:szCs w:val="32"/>
        </w:rPr>
        <w:t>〕</w:t>
      </w:r>
      <w:r>
        <w:rPr>
          <w:rFonts w:ascii="仿宋" w:hAnsi="仿宋" w:eastAsia="仿宋" w:cs="仿宋"/>
          <w:color w:val="333333"/>
          <w:kern w:val="0"/>
          <w:sz w:val="32"/>
          <w:szCs w:val="32"/>
        </w:rPr>
        <w:t>64</w:t>
      </w:r>
      <w:r>
        <w:rPr>
          <w:rFonts w:hint="eastAsia" w:ascii="仿宋" w:hAnsi="仿宋" w:eastAsia="仿宋" w:cs="仿宋"/>
          <w:color w:val="333333"/>
          <w:kern w:val="0"/>
          <w:sz w:val="32"/>
          <w:szCs w:val="32"/>
        </w:rPr>
        <w:t>号）。</w:t>
      </w:r>
      <w:bookmarkStart w:id="0" w:name="_GoBack"/>
      <w:bookmarkEnd w:id="0"/>
    </w:p>
    <w:sectPr>
      <w:pgSz w:w="11906" w:h="16838"/>
      <w:pgMar w:top="1440" w:right="1800" w:bottom="1440" w:left="1800" w:header="851" w:footer="992" w:gutter="0"/>
      <w:pgNumType w:fmt="numberInDash"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3601E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2016-06-03T02:31:33Z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